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220" w:rsidRPr="001F5220" w:rsidRDefault="001F5220" w:rsidP="001F5220">
      <w:pPr>
        <w:spacing w:before="240" w:after="60" w:line="240" w:lineRule="auto"/>
        <w:jc w:val="center"/>
        <w:outlineLvl w:val="1"/>
        <w:rPr>
          <w:rFonts w:ascii="Arial" w:eastAsia="Times New Roman" w:hAnsi="Times New Roman" w:cs="David" w:hint="cs"/>
          <w:b/>
          <w:bCs/>
          <w:sz w:val="44"/>
          <w:szCs w:val="44"/>
          <w:rtl/>
        </w:rPr>
      </w:pPr>
      <w:r w:rsidRPr="001F5220">
        <w:rPr>
          <w:rFonts w:ascii="Arial" w:eastAsia="Times New Roman" w:hAnsi="Times New Roman" w:cs="David" w:hint="cs"/>
          <w:b/>
          <w:bCs/>
          <w:sz w:val="44"/>
          <w:szCs w:val="44"/>
          <w:rtl/>
        </w:rPr>
        <w:t>מועצה אזורית גולן</w:t>
      </w:r>
    </w:p>
    <w:p w:rsidR="001F5220" w:rsidRPr="001F5220" w:rsidRDefault="001F5220" w:rsidP="001F5220">
      <w:pPr>
        <w:spacing w:after="0" w:line="240" w:lineRule="auto"/>
        <w:jc w:val="both"/>
        <w:rPr>
          <w:rFonts w:ascii="Times New Roman" w:eastAsia="Times New Roman" w:hAnsi="Times New Roman" w:cs="David"/>
          <w:sz w:val="16"/>
          <w:szCs w:val="18"/>
        </w:rPr>
      </w:pPr>
    </w:p>
    <w:p w:rsidR="001F5220" w:rsidRPr="001F5220" w:rsidRDefault="001F5220" w:rsidP="001F5220">
      <w:pPr>
        <w:spacing w:after="0" w:line="240" w:lineRule="auto"/>
        <w:jc w:val="center"/>
        <w:rPr>
          <w:rFonts w:ascii="Times New Roman" w:eastAsia="Times New Roman" w:hAnsi="Times New Roman" w:cs="David" w:hint="cs"/>
          <w:b/>
          <w:bCs/>
          <w:sz w:val="32"/>
          <w:szCs w:val="32"/>
          <w:rtl/>
        </w:rPr>
      </w:pPr>
      <w:r w:rsidRPr="001F5220">
        <w:rPr>
          <w:rFonts w:ascii="Times New Roman" w:eastAsia="Times New Roman" w:hAnsi="Times New Roman" w:cs="David" w:hint="cs"/>
          <w:b/>
          <w:bCs/>
          <w:sz w:val="32"/>
          <w:szCs w:val="32"/>
          <w:rtl/>
        </w:rPr>
        <w:t>מכרז פומבי מס' 42/2018</w:t>
      </w:r>
    </w:p>
    <w:p w:rsidR="001F5220" w:rsidRPr="001F5220" w:rsidRDefault="001F5220" w:rsidP="001F5220">
      <w:pPr>
        <w:spacing w:after="0" w:line="240" w:lineRule="auto"/>
        <w:jc w:val="center"/>
        <w:rPr>
          <w:rFonts w:ascii="Times New Roman" w:eastAsia="Times New Roman" w:hAnsi="Times New Roman" w:cs="David" w:hint="cs"/>
          <w:b/>
          <w:bCs/>
          <w:sz w:val="32"/>
          <w:szCs w:val="32"/>
          <w:rtl/>
        </w:rPr>
      </w:pPr>
      <w:r w:rsidRPr="001F5220">
        <w:rPr>
          <w:rFonts w:ascii="Times New Roman" w:eastAsia="Times New Roman" w:hAnsi="Times New Roman" w:cs="David" w:hint="cs"/>
          <w:b/>
          <w:bCs/>
          <w:sz w:val="32"/>
          <w:szCs w:val="32"/>
          <w:rtl/>
        </w:rPr>
        <w:t>להפקת כנסים בתחום החקלאות לשנים 2018-2019</w:t>
      </w:r>
    </w:p>
    <w:p w:rsidR="001F5220" w:rsidRPr="001F5220" w:rsidRDefault="001F5220" w:rsidP="001F5220">
      <w:pPr>
        <w:spacing w:after="0" w:line="240" w:lineRule="auto"/>
        <w:jc w:val="center"/>
        <w:rPr>
          <w:rFonts w:ascii="Times New Roman" w:eastAsia="Times New Roman" w:hAnsi="Times New Roman" w:cs="David" w:hint="cs"/>
          <w:b/>
          <w:bCs/>
          <w:sz w:val="24"/>
          <w:szCs w:val="24"/>
          <w:rtl/>
        </w:rPr>
      </w:pPr>
    </w:p>
    <w:p w:rsidR="001F5220" w:rsidRPr="001F5220" w:rsidRDefault="001F5220" w:rsidP="001F5220">
      <w:pPr>
        <w:spacing w:after="0" w:line="240" w:lineRule="auto"/>
        <w:jc w:val="center"/>
        <w:rPr>
          <w:rFonts w:ascii="Times New Roman" w:eastAsia="Times New Roman" w:hAnsi="Times New Roman" w:cs="David" w:hint="cs"/>
          <w:b/>
          <w:bCs/>
          <w:sz w:val="28"/>
          <w:szCs w:val="28"/>
          <w:u w:val="single"/>
          <w:rtl/>
        </w:rPr>
      </w:pPr>
      <w:r w:rsidRPr="001F5220">
        <w:rPr>
          <w:rFonts w:ascii="Times New Roman" w:eastAsia="Times New Roman" w:hAnsi="Times New Roman" w:cs="David" w:hint="cs"/>
          <w:b/>
          <w:bCs/>
          <w:sz w:val="28"/>
          <w:szCs w:val="28"/>
          <w:u w:val="single"/>
          <w:rtl/>
        </w:rPr>
        <w:t>הזמנה להציע הצעות</w:t>
      </w:r>
    </w:p>
    <w:p w:rsidR="001F5220" w:rsidRPr="001F5220" w:rsidRDefault="001F5220" w:rsidP="001F5220">
      <w:pPr>
        <w:spacing w:after="0" w:line="240" w:lineRule="auto"/>
        <w:jc w:val="center"/>
        <w:rPr>
          <w:rFonts w:ascii="Times New Roman" w:eastAsia="Times New Roman" w:hAnsi="Times New Roman" w:cs="David" w:hint="cs"/>
          <w:b/>
          <w:bCs/>
          <w:sz w:val="28"/>
          <w:szCs w:val="28"/>
          <w:u w:val="single"/>
          <w:rtl/>
        </w:rPr>
      </w:pPr>
    </w:p>
    <w:p w:rsidR="001F5220" w:rsidRPr="001F5220" w:rsidRDefault="001F5220" w:rsidP="001F5220">
      <w:pPr>
        <w:spacing w:after="0" w:line="240" w:lineRule="auto"/>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מועצה אזורית גולן (להלן: "</w:t>
      </w:r>
      <w:r w:rsidRPr="001F5220">
        <w:rPr>
          <w:rFonts w:ascii="Times New Roman" w:eastAsia="Times New Roman" w:hAnsi="Times New Roman" w:cs="David" w:hint="cs"/>
          <w:b/>
          <w:bCs/>
          <w:sz w:val="24"/>
          <w:szCs w:val="24"/>
          <w:rtl/>
        </w:rPr>
        <w:t>המועצה</w:t>
      </w:r>
      <w:r w:rsidRPr="001F5220">
        <w:rPr>
          <w:rFonts w:ascii="Times New Roman" w:eastAsia="Times New Roman" w:hAnsi="Times New Roman" w:cs="David" w:hint="cs"/>
          <w:sz w:val="24"/>
          <w:szCs w:val="24"/>
          <w:rtl/>
        </w:rPr>
        <w:t>"), מזמינה בזאת מועמדים מתאימים העומדים בתנאי הסף כמפורט בסעיף 3 להלן, להציע, כנותני שירות קבלני, הצעות למתן שירותים להפקת כנסים בתחום החקלאות לשנים 2018-2019 עבור המועצה, בהתאם למפורט במסמכי המכרז להלן.</w:t>
      </w:r>
    </w:p>
    <w:p w:rsidR="001F5220" w:rsidRPr="001F5220" w:rsidRDefault="001F5220" w:rsidP="001F5220">
      <w:pPr>
        <w:spacing w:after="0" w:line="240" w:lineRule="auto"/>
        <w:jc w:val="both"/>
        <w:rPr>
          <w:rFonts w:ascii="Times New Roman" w:eastAsia="Times New Roman" w:hAnsi="Times New Roman" w:cs="David" w:hint="cs"/>
          <w:sz w:val="24"/>
          <w:szCs w:val="24"/>
          <w:rtl/>
        </w:rPr>
      </w:pPr>
    </w:p>
    <w:p w:rsidR="001F5220" w:rsidRPr="001F5220" w:rsidRDefault="001F5220" w:rsidP="001F5220">
      <w:pPr>
        <w:numPr>
          <w:ilvl w:val="0"/>
          <w:numId w:val="1"/>
        </w:numPr>
        <w:spacing w:after="0" w:line="240" w:lineRule="auto"/>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b/>
          <w:bCs/>
          <w:sz w:val="24"/>
          <w:szCs w:val="24"/>
          <w:u w:val="single"/>
          <w:rtl/>
        </w:rPr>
        <w:t>רקע</w:t>
      </w:r>
    </w:p>
    <w:p w:rsidR="001F5220" w:rsidRPr="001F5220" w:rsidRDefault="001F5220" w:rsidP="001F5220">
      <w:pPr>
        <w:spacing w:after="0" w:line="240" w:lineRule="auto"/>
        <w:ind w:left="360"/>
        <w:jc w:val="both"/>
        <w:rPr>
          <w:rFonts w:ascii="Times New Roman" w:eastAsia="Times New Roman" w:hAnsi="Times New Roman" w:cs="David"/>
          <w:szCs w:val="24"/>
        </w:rPr>
      </w:pPr>
      <w:r w:rsidRPr="001F5220">
        <w:rPr>
          <w:rFonts w:ascii="Times New Roman" w:eastAsia="Times New Roman" w:hAnsi="Times New Roman" w:cs="David" w:hint="cs"/>
          <w:szCs w:val="24"/>
          <w:rtl/>
        </w:rPr>
        <w:t>תכנית הנחלות בגולן מביאה חקלאים ויזמים חדשים לגולן. על מנת שהפיתוח החקלאי יהיה המיטבי יש צורך בחיבור מדריכים לחקלאים החדשים, חקלאי חדש צורך זמן הדרכה רב יותר מהחקלאים הוותיקים.</w:t>
      </w:r>
    </w:p>
    <w:p w:rsidR="001F5220" w:rsidRPr="001F5220" w:rsidRDefault="001F5220" w:rsidP="001F5220">
      <w:pPr>
        <w:spacing w:after="0" w:line="240" w:lineRule="auto"/>
        <w:ind w:left="360"/>
        <w:jc w:val="both"/>
        <w:rPr>
          <w:rFonts w:ascii="Times New Roman" w:eastAsia="Times New Roman" w:hAnsi="Times New Roman" w:cs="David"/>
          <w:szCs w:val="24"/>
        </w:rPr>
      </w:pPr>
      <w:r w:rsidRPr="001F5220">
        <w:rPr>
          <w:rFonts w:ascii="Times New Roman" w:eastAsia="Times New Roman" w:hAnsi="Times New Roman" w:cs="David" w:hint="cs"/>
          <w:szCs w:val="24"/>
          <w:rtl/>
        </w:rPr>
        <w:t>כדי לשפר את התקשורת בין החקלאים ולהביא לשיתוף פעולה, ההדרכה מתוכננת להתבצע בשלושה מישורים:</w:t>
      </w:r>
    </w:p>
    <w:p w:rsidR="001F5220" w:rsidRPr="001F5220" w:rsidRDefault="001F5220" w:rsidP="001F5220">
      <w:pPr>
        <w:spacing w:after="0" w:line="240" w:lineRule="auto"/>
        <w:ind w:left="360"/>
        <w:jc w:val="both"/>
        <w:rPr>
          <w:rFonts w:ascii="Times New Roman" w:eastAsia="Times New Roman" w:hAnsi="Times New Roman" w:cs="David" w:hint="cs"/>
          <w:szCs w:val="24"/>
          <w:rtl/>
        </w:rPr>
      </w:pPr>
      <w:r w:rsidRPr="001F5220">
        <w:rPr>
          <w:rFonts w:ascii="Times New Roman" w:eastAsia="Times New Roman" w:hAnsi="Times New Roman" w:cs="David" w:hint="cs"/>
          <w:b/>
          <w:bCs/>
          <w:szCs w:val="24"/>
          <w:rtl/>
        </w:rPr>
        <w:t>הדרכה קבוצתית</w:t>
      </w:r>
      <w:r w:rsidRPr="001F5220">
        <w:rPr>
          <w:rFonts w:ascii="Times New Roman" w:eastAsia="Times New Roman" w:hAnsi="Times New Roman" w:cs="David" w:hint="cs"/>
          <w:szCs w:val="24"/>
          <w:rtl/>
        </w:rPr>
        <w:t>- הדרכה מרוכזת ורישום המלצות חודשי עבור פעולות קבועות בגידול, פרוטוקולי גידול לגולן.</w:t>
      </w:r>
    </w:p>
    <w:p w:rsidR="001F5220" w:rsidRPr="001F5220" w:rsidRDefault="001F5220" w:rsidP="001F5220">
      <w:pPr>
        <w:spacing w:after="0" w:line="240" w:lineRule="auto"/>
        <w:ind w:left="360"/>
        <w:jc w:val="both"/>
        <w:rPr>
          <w:rFonts w:ascii="Times New Roman" w:eastAsia="Times New Roman" w:hAnsi="Times New Roman" w:cs="David" w:hint="cs"/>
          <w:szCs w:val="24"/>
          <w:rtl/>
        </w:rPr>
      </w:pPr>
      <w:r w:rsidRPr="001F5220">
        <w:rPr>
          <w:rFonts w:ascii="Times New Roman" w:eastAsia="Times New Roman" w:hAnsi="Times New Roman" w:cs="David" w:hint="cs"/>
          <w:b/>
          <w:bCs/>
          <w:szCs w:val="24"/>
          <w:rtl/>
        </w:rPr>
        <w:t>סיורים משותפים</w:t>
      </w:r>
      <w:r w:rsidRPr="001F5220">
        <w:rPr>
          <w:rFonts w:ascii="Times New Roman" w:eastAsia="Times New Roman" w:hAnsi="Times New Roman" w:cs="David" w:hint="cs"/>
          <w:szCs w:val="24"/>
          <w:rtl/>
        </w:rPr>
        <w:t>- ייזום סיורים מרוכזים לכלל המגדלים על-פי ענפי גידול. יחסוך זמן הדרכה וישתף את כל המגדלים באותו ענף באתגרים ויביא לשיתופי פעולה.</w:t>
      </w:r>
    </w:p>
    <w:p w:rsidR="001F5220" w:rsidRPr="001F5220" w:rsidRDefault="001F5220" w:rsidP="001F5220">
      <w:pPr>
        <w:spacing w:after="0" w:line="240" w:lineRule="auto"/>
        <w:ind w:left="360"/>
        <w:jc w:val="both"/>
        <w:rPr>
          <w:rFonts w:ascii="Times New Roman" w:eastAsia="Times New Roman" w:hAnsi="Times New Roman" w:cs="David" w:hint="cs"/>
          <w:szCs w:val="24"/>
          <w:rtl/>
        </w:rPr>
      </w:pPr>
      <w:r w:rsidRPr="001F5220">
        <w:rPr>
          <w:rFonts w:ascii="Times New Roman" w:eastAsia="Times New Roman" w:hAnsi="Times New Roman" w:cs="David" w:hint="cs"/>
          <w:b/>
          <w:bCs/>
          <w:szCs w:val="24"/>
          <w:rtl/>
        </w:rPr>
        <w:t>ימי עיון וכנסים</w:t>
      </w:r>
      <w:r w:rsidRPr="001F5220">
        <w:rPr>
          <w:rFonts w:ascii="Times New Roman" w:eastAsia="Times New Roman" w:hAnsi="Times New Roman" w:cs="David" w:hint="cs"/>
          <w:szCs w:val="24"/>
          <w:rtl/>
        </w:rPr>
        <w:t>- יישום של ימי עיון מרוכזים וכנסי חקלאות לחשיפת פעילויות המחקר, הדרכה, טכנולוגיה ופיתוח החקלאות בעולם.</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מכרז זה מתמקד בעריכת כנסים מרוכזים בתחומי החקלאות לשנים 2018-2019, להפצה ולהעברת מידע, לרבות אודות חדשנות בחקלאות, חשיפת החקלאים לתחומים המתפתחים בתחום החקלאות, חדשנות, שיווק ומחקרים בארץ ובעולם בהתאם למפרט הכנסים המצורף למכרז וכן כנסי-סיור.</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בין הכנסים המקצועיים ייכלל גם כנס שנתי מרכזי של חדשנות בחקלאות לכלל החקלאים בגולן כדי ליצור תרבות המשך ומיתוג הגולן.</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במסגרת הכנסים יתכנו גם כנסי-סיורים בשטח בהתאם להתוויית כל כנס על-ידי המועצה. לכנסים אלה תוקדם הכנת השטח על-ידי המפיק.</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במסגרת השירותים שיינתנו על-ידי המפיק בפועל, נכללות כל הוצאות התקורה הנדרשות.</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32"/>
          <w:szCs w:val="32"/>
          <w:rtl/>
        </w:rPr>
      </w:pPr>
    </w:p>
    <w:p w:rsidR="001F5220" w:rsidRPr="001F5220" w:rsidRDefault="001F5220" w:rsidP="001F5220">
      <w:pPr>
        <w:spacing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הכנסים יהיו בנושאים שונים הקשורים בחקלאות בגולן, ובכלל זה יכול שיידרשו כנסים בתחומים הבאים: נשירים, מנגו, כרמי יין, בקר לבשר, חדשנות בחקלאות, ירקות וגד"ש, זבוב הים התיכון (להלן: "</w:t>
      </w:r>
      <w:r w:rsidRPr="001F5220">
        <w:rPr>
          <w:rFonts w:ascii="Times New Roman" w:eastAsia="Times New Roman" w:hAnsi="Times New Roman" w:cs="David" w:hint="cs"/>
          <w:b/>
          <w:bCs/>
          <w:sz w:val="24"/>
          <w:szCs w:val="24"/>
          <w:rtl/>
        </w:rPr>
        <w:t>נושאי הכנסים</w:t>
      </w:r>
      <w:r w:rsidRPr="001F5220">
        <w:rPr>
          <w:rFonts w:ascii="Times New Roman" w:eastAsia="Times New Roman" w:hAnsi="Times New Roman" w:cs="David" w:hint="cs"/>
          <w:sz w:val="24"/>
          <w:szCs w:val="24"/>
          <w:rtl/>
        </w:rPr>
        <w:t>").</w:t>
      </w:r>
    </w:p>
    <w:p w:rsidR="001F5220" w:rsidRPr="001F5220" w:rsidRDefault="001F5220" w:rsidP="001F5220">
      <w:pPr>
        <w:spacing w:before="240" w:line="240" w:lineRule="auto"/>
        <w:ind w:left="360"/>
        <w:contextualSpacing/>
        <w:jc w:val="both"/>
        <w:rPr>
          <w:rFonts w:ascii="Times New Roman" w:eastAsia="Times New Roman" w:hAnsi="Times New Roman" w:cs="David" w:hint="cs"/>
          <w:sz w:val="32"/>
          <w:szCs w:val="32"/>
          <w:rtl/>
        </w:rPr>
      </w:pP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להלן פירוט היקפי הכנסים נשוא מכרז זה (כמות המשתתפים היא הכמות המינימלית שהמציע הזוכה נדרש לה בכל סוג כנס), והמחיר המקסימלי בעבור כל סוג כנס (להלן: "</w:t>
      </w:r>
      <w:r w:rsidRPr="001F5220">
        <w:rPr>
          <w:rFonts w:ascii="Times New Roman" w:eastAsia="Times New Roman" w:hAnsi="Times New Roman" w:cs="David" w:hint="cs"/>
          <w:b/>
          <w:bCs/>
          <w:sz w:val="24"/>
          <w:szCs w:val="24"/>
          <w:rtl/>
        </w:rPr>
        <w:t>מחירון המועצה</w:t>
      </w:r>
      <w:r w:rsidRPr="001F5220">
        <w:rPr>
          <w:rFonts w:ascii="Times New Roman" w:eastAsia="Times New Roman" w:hAnsi="Times New Roman" w:cs="David" w:hint="cs"/>
          <w:sz w:val="24"/>
          <w:szCs w:val="24"/>
          <w:rtl/>
        </w:rPr>
        <w:t>"):</w:t>
      </w:r>
    </w:p>
    <w:tbl>
      <w:tblPr>
        <w:tblpPr w:leftFromText="180" w:rightFromText="180" w:vertAnchor="text" w:horzAnchor="margin" w:tblpY="178"/>
        <w:bidiVisual/>
        <w:tblW w:w="8081" w:type="dxa"/>
        <w:tblCellMar>
          <w:left w:w="0" w:type="dxa"/>
          <w:right w:w="0" w:type="dxa"/>
        </w:tblCellMar>
        <w:tblLook w:val="04A0" w:firstRow="1" w:lastRow="0" w:firstColumn="1" w:lastColumn="0" w:noHBand="0" w:noVBand="1"/>
      </w:tblPr>
      <w:tblGrid>
        <w:gridCol w:w="709"/>
        <w:gridCol w:w="1418"/>
        <w:gridCol w:w="1984"/>
        <w:gridCol w:w="1701"/>
        <w:gridCol w:w="2269"/>
      </w:tblGrid>
      <w:tr w:rsidR="001F5220" w:rsidRPr="001F5220" w:rsidTr="00381D6B">
        <w:tc>
          <w:tcPr>
            <w:tcW w:w="709" w:type="dxa"/>
            <w:tcBorders>
              <w:top w:val="single" w:sz="8" w:space="0" w:color="auto"/>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Times New Roman" w:hAnsi="Arial" w:cs="David" w:hint="cs"/>
                <w:b/>
                <w:bCs/>
                <w:szCs w:val="24"/>
                <w:rtl/>
              </w:rPr>
            </w:pPr>
            <w:proofErr w:type="spellStart"/>
            <w:r w:rsidRPr="001F5220">
              <w:rPr>
                <w:rFonts w:ascii="Arial" w:eastAsia="Times New Roman" w:hAnsi="Arial" w:cs="David" w:hint="cs"/>
                <w:b/>
                <w:bCs/>
                <w:szCs w:val="24"/>
                <w:rtl/>
              </w:rPr>
              <w:t>מס"ד</w:t>
            </w:r>
            <w:proofErr w:type="spellEnd"/>
          </w:p>
        </w:tc>
        <w:tc>
          <w:tcPr>
            <w:tcW w:w="14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b/>
                <w:bCs/>
                <w:szCs w:val="24"/>
                <w:rtl/>
              </w:rPr>
            </w:pPr>
            <w:r w:rsidRPr="001F5220">
              <w:rPr>
                <w:rFonts w:ascii="Arial" w:eastAsia="Times New Roman" w:hAnsi="Arial" w:cs="David" w:hint="cs"/>
                <w:b/>
                <w:bCs/>
                <w:szCs w:val="24"/>
                <w:rtl/>
              </w:rPr>
              <w:t>מס' כנסים</w:t>
            </w:r>
            <w:r w:rsidRPr="001F5220">
              <w:rPr>
                <w:rFonts w:ascii="Arial" w:eastAsia="Calibri" w:hAnsi="Arial" w:cs="David" w:hint="cs"/>
                <w:b/>
                <w:bCs/>
                <w:szCs w:val="24"/>
                <w:rtl/>
              </w:rPr>
              <w:t xml:space="preserve"> צפוי</w:t>
            </w:r>
          </w:p>
          <w:p w:rsidR="001F5220" w:rsidRPr="001F5220" w:rsidRDefault="001F5220" w:rsidP="001F5220">
            <w:pPr>
              <w:spacing w:after="0" w:line="240" w:lineRule="auto"/>
              <w:jc w:val="center"/>
              <w:rPr>
                <w:rFonts w:ascii="Arial" w:eastAsia="Calibri" w:hAnsi="Arial" w:cs="David" w:hint="cs"/>
                <w:b/>
                <w:bCs/>
                <w:szCs w:val="24"/>
                <w:rtl/>
              </w:rPr>
            </w:pPr>
            <w:r w:rsidRPr="001F5220">
              <w:rPr>
                <w:rFonts w:ascii="Arial" w:eastAsia="Calibri" w:hAnsi="Arial" w:cs="David" w:hint="cs"/>
                <w:b/>
                <w:bCs/>
                <w:szCs w:val="24"/>
                <w:rtl/>
              </w:rPr>
              <w:t>(הערכה בלבד)</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Times New Roman" w:hAnsi="Arial" w:cs="David"/>
                <w:b/>
                <w:bCs/>
                <w:szCs w:val="24"/>
              </w:rPr>
            </w:pPr>
            <w:r w:rsidRPr="001F5220">
              <w:rPr>
                <w:rFonts w:ascii="Arial" w:eastAsia="Times New Roman" w:hAnsi="Arial" w:cs="David" w:hint="cs"/>
                <w:b/>
                <w:bCs/>
                <w:szCs w:val="24"/>
                <w:rtl/>
              </w:rPr>
              <w:t>סכום תמורה מקסימלית בש"ח (כולל מע"מ)</w:t>
            </w:r>
          </w:p>
          <w:p w:rsidR="001F5220" w:rsidRPr="001F5220" w:rsidRDefault="001F5220" w:rsidP="001F5220">
            <w:pPr>
              <w:spacing w:after="0" w:line="240" w:lineRule="auto"/>
              <w:jc w:val="center"/>
              <w:rPr>
                <w:rFonts w:ascii="Arial" w:eastAsia="Times New Roman" w:hAnsi="Arial" w:cs="David" w:hint="cs"/>
                <w:b/>
                <w:bCs/>
                <w:szCs w:val="24"/>
                <w:rtl/>
              </w:rPr>
            </w:pPr>
            <w:r w:rsidRPr="001F5220">
              <w:rPr>
                <w:rFonts w:ascii="Arial" w:eastAsia="Times New Roman" w:hAnsi="Arial" w:cs="David" w:hint="cs"/>
                <w:b/>
                <w:bCs/>
                <w:szCs w:val="24"/>
                <w:rtl/>
              </w:rPr>
              <w:t>לכנס בודד</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b/>
                <w:bCs/>
                <w:szCs w:val="24"/>
                <w:rtl/>
              </w:rPr>
            </w:pPr>
            <w:r w:rsidRPr="001F5220">
              <w:rPr>
                <w:rFonts w:ascii="Arial" w:eastAsia="Times New Roman" w:hAnsi="Arial" w:cs="David" w:hint="cs"/>
                <w:b/>
                <w:bCs/>
                <w:szCs w:val="24"/>
                <w:rtl/>
              </w:rPr>
              <w:t>כמות משתתפים מבוקשת</w:t>
            </w:r>
          </w:p>
        </w:tc>
        <w:tc>
          <w:tcPr>
            <w:tcW w:w="2269" w:type="dxa"/>
            <w:tcBorders>
              <w:top w:val="single" w:sz="8" w:space="0" w:color="auto"/>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Times New Roman" w:hAnsi="Arial" w:cs="David"/>
                <w:b/>
                <w:bCs/>
                <w:szCs w:val="24"/>
              </w:rPr>
            </w:pPr>
            <w:r w:rsidRPr="001F5220">
              <w:rPr>
                <w:rFonts w:ascii="Arial" w:eastAsia="Times New Roman" w:hAnsi="Arial" w:cs="David" w:hint="cs"/>
                <w:b/>
                <w:bCs/>
                <w:szCs w:val="24"/>
                <w:rtl/>
              </w:rPr>
              <w:t>שם סוג הכנס</w:t>
            </w:r>
          </w:p>
        </w:tc>
      </w:tr>
      <w:tr w:rsidR="001F5220" w:rsidRPr="001F5220" w:rsidTr="00381D6B">
        <w:tc>
          <w:tcPr>
            <w:tcW w:w="709" w:type="dxa"/>
            <w:tcBorders>
              <w:top w:val="nil"/>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1</w:t>
            </w:r>
          </w:p>
        </w:tc>
        <w:tc>
          <w:tcPr>
            <w:tcW w:w="141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1</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100,000</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600</w:t>
            </w:r>
          </w:p>
        </w:tc>
        <w:tc>
          <w:tcPr>
            <w:tcW w:w="2269" w:type="dxa"/>
            <w:tcBorders>
              <w:top w:val="nil"/>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כנס גדול</w:t>
            </w:r>
          </w:p>
        </w:tc>
      </w:tr>
      <w:tr w:rsidR="001F5220" w:rsidRPr="001F5220" w:rsidTr="00381D6B">
        <w:tc>
          <w:tcPr>
            <w:tcW w:w="709" w:type="dxa"/>
            <w:tcBorders>
              <w:top w:val="nil"/>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2</w:t>
            </w:r>
          </w:p>
        </w:tc>
        <w:tc>
          <w:tcPr>
            <w:tcW w:w="141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3</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13,000</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250</w:t>
            </w:r>
          </w:p>
        </w:tc>
        <w:tc>
          <w:tcPr>
            <w:tcW w:w="2269" w:type="dxa"/>
            <w:tcBorders>
              <w:top w:val="nil"/>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כנס בינוני</w:t>
            </w:r>
          </w:p>
        </w:tc>
      </w:tr>
      <w:tr w:rsidR="001F5220" w:rsidRPr="001F5220" w:rsidTr="00381D6B">
        <w:tc>
          <w:tcPr>
            <w:tcW w:w="709" w:type="dxa"/>
            <w:tcBorders>
              <w:top w:val="nil"/>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3</w:t>
            </w:r>
          </w:p>
        </w:tc>
        <w:tc>
          <w:tcPr>
            <w:tcW w:w="141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2</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4,800</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150</w:t>
            </w:r>
          </w:p>
        </w:tc>
        <w:tc>
          <w:tcPr>
            <w:tcW w:w="2269" w:type="dxa"/>
            <w:tcBorders>
              <w:top w:val="nil"/>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כנס קטן-בינוני</w:t>
            </w:r>
          </w:p>
        </w:tc>
      </w:tr>
      <w:tr w:rsidR="001F5220" w:rsidRPr="001F5220" w:rsidTr="00381D6B">
        <w:tc>
          <w:tcPr>
            <w:tcW w:w="709" w:type="dxa"/>
            <w:tcBorders>
              <w:top w:val="nil"/>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4</w:t>
            </w:r>
          </w:p>
        </w:tc>
        <w:tc>
          <w:tcPr>
            <w:tcW w:w="141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6</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4,000</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120</w:t>
            </w:r>
          </w:p>
        </w:tc>
        <w:tc>
          <w:tcPr>
            <w:tcW w:w="2269" w:type="dxa"/>
            <w:tcBorders>
              <w:top w:val="nil"/>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szCs w:val="24"/>
              </w:rPr>
            </w:pPr>
            <w:r w:rsidRPr="001F5220">
              <w:rPr>
                <w:rFonts w:ascii="Arial" w:eastAsia="Calibri" w:hAnsi="Arial" w:cs="David" w:hint="cs"/>
                <w:szCs w:val="24"/>
                <w:rtl/>
              </w:rPr>
              <w:t>כנס קטן</w:t>
            </w:r>
          </w:p>
        </w:tc>
      </w:tr>
      <w:tr w:rsidR="001F5220" w:rsidRPr="001F5220" w:rsidTr="00381D6B">
        <w:tc>
          <w:tcPr>
            <w:tcW w:w="709" w:type="dxa"/>
            <w:tcBorders>
              <w:top w:val="nil"/>
              <w:left w:val="single" w:sz="8" w:space="0" w:color="auto"/>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5</w:t>
            </w:r>
          </w:p>
        </w:tc>
        <w:tc>
          <w:tcPr>
            <w:tcW w:w="141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5</w:t>
            </w:r>
          </w:p>
        </w:tc>
        <w:tc>
          <w:tcPr>
            <w:tcW w:w="1984" w:type="dxa"/>
            <w:tcBorders>
              <w:top w:val="single" w:sz="4" w:space="0" w:color="auto"/>
              <w:left w:val="single" w:sz="4" w:space="0" w:color="auto"/>
              <w:bottom w:val="single" w:sz="4" w:space="0" w:color="auto"/>
              <w:right w:val="single" w:sz="4"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20,000</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20</w:t>
            </w:r>
          </w:p>
        </w:tc>
        <w:tc>
          <w:tcPr>
            <w:tcW w:w="2269" w:type="dxa"/>
            <w:tcBorders>
              <w:top w:val="nil"/>
              <w:left w:val="nil"/>
              <w:bottom w:val="single" w:sz="8" w:space="0" w:color="auto"/>
              <w:right w:val="single" w:sz="8" w:space="0" w:color="auto"/>
            </w:tcBorders>
            <w:hideMark/>
          </w:tcPr>
          <w:p w:rsidR="001F5220" w:rsidRPr="001F5220" w:rsidRDefault="001F5220" w:rsidP="001F5220">
            <w:pPr>
              <w:spacing w:after="0" w:line="240" w:lineRule="auto"/>
              <w:jc w:val="center"/>
              <w:rPr>
                <w:rFonts w:ascii="Arial" w:eastAsia="Calibri" w:hAnsi="Arial" w:cs="David" w:hint="cs"/>
                <w:szCs w:val="24"/>
                <w:rtl/>
              </w:rPr>
            </w:pPr>
            <w:r w:rsidRPr="001F5220">
              <w:rPr>
                <w:rFonts w:ascii="Arial" w:eastAsia="Calibri" w:hAnsi="Arial" w:cs="David" w:hint="cs"/>
                <w:szCs w:val="24"/>
                <w:rtl/>
              </w:rPr>
              <w:t>כנס-סיור (כולל הכנות בשטח לכנס על כל הנובע מכך)</w:t>
            </w:r>
          </w:p>
        </w:tc>
      </w:tr>
    </w:tbl>
    <w:p w:rsidR="001F5220" w:rsidRPr="001F5220" w:rsidRDefault="001F5220" w:rsidP="001F5220">
      <w:pPr>
        <w:spacing w:before="240" w:line="240" w:lineRule="auto"/>
        <w:ind w:left="360"/>
        <w:contextualSpacing/>
        <w:jc w:val="both"/>
        <w:rPr>
          <w:rFonts w:ascii="Times New Roman" w:eastAsia="Times New Roman" w:hAnsi="Times New Roman" w:cs="David" w:hint="cs"/>
          <w:sz w:val="12"/>
          <w:szCs w:val="12"/>
          <w:rtl/>
        </w:rPr>
      </w:pPr>
    </w:p>
    <w:p w:rsidR="001F5220" w:rsidRPr="001F5220" w:rsidRDefault="001F5220" w:rsidP="001F5220">
      <w:pPr>
        <w:spacing w:before="240" w:line="240" w:lineRule="auto"/>
        <w:ind w:left="360"/>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lastRenderedPageBreak/>
        <w:t>הכנסים שהמועצה עשויה לבקש לקיימם יהיו למשל בנושאים הבאים: נשירים מנגו, כרמי יין, בקר לבשר, חדשנות, מגדלי ירקות וגד"ש, זבוב הים התיכון, פטריות, וכן נושאים נוספים לפי צורך ולפי החלטת צוות ההיגוי.</w:t>
      </w:r>
    </w:p>
    <w:p w:rsidR="001F5220" w:rsidRPr="001F5220" w:rsidRDefault="001F5220" w:rsidP="001F5220">
      <w:pPr>
        <w:tabs>
          <w:tab w:val="left" w:pos="1862"/>
        </w:tabs>
        <w:spacing w:before="240" w:line="240" w:lineRule="auto"/>
        <w:ind w:left="360"/>
        <w:contextualSpacing/>
        <w:jc w:val="both"/>
        <w:rPr>
          <w:rFonts w:ascii="Times New Roman" w:eastAsia="Times New Roman" w:hAnsi="Times New Roman" w:cs="David"/>
          <w:sz w:val="24"/>
          <w:szCs w:val="24"/>
        </w:rPr>
      </w:pPr>
      <w:r w:rsidRPr="001F5220">
        <w:rPr>
          <w:rFonts w:ascii="Times New Roman" w:eastAsia="Times New Roman" w:hAnsi="Times New Roman" w:cs="David" w:hint="cs"/>
          <w:sz w:val="24"/>
          <w:szCs w:val="24"/>
          <w:rtl/>
        </w:rPr>
        <w:tab/>
      </w:r>
    </w:p>
    <w:p w:rsidR="001F5220" w:rsidRPr="001F5220" w:rsidRDefault="001F5220" w:rsidP="001F5220">
      <w:pPr>
        <w:spacing w:before="240" w:line="240" w:lineRule="auto"/>
        <w:ind w:left="360"/>
        <w:contextualSpacing/>
        <w:jc w:val="both"/>
        <w:rPr>
          <w:rFonts w:ascii="Times New Roman" w:eastAsia="Times New Roman" w:hAnsi="Times New Roman" w:cs="David" w:hint="cs"/>
          <w:b/>
          <w:bCs/>
          <w:sz w:val="24"/>
          <w:szCs w:val="24"/>
          <w:rtl/>
        </w:rPr>
      </w:pPr>
      <w:r w:rsidRPr="001F5220">
        <w:rPr>
          <w:rFonts w:ascii="Times New Roman" w:eastAsia="Times New Roman" w:hAnsi="Times New Roman" w:cs="David" w:hint="cs"/>
          <w:b/>
          <w:bCs/>
          <w:sz w:val="24"/>
          <w:szCs w:val="24"/>
          <w:rtl/>
        </w:rPr>
        <w:t>ובסה"כ כ-17 כנסים לשנים 2018-2019 נשוא מכרז זה (מספר הכנסים הצפוי מכל סוג, ומספר הכנסים הכולל הם בגדר הערכה בלבד שאינה מחייבת את המועצה).</w:t>
      </w:r>
    </w:p>
    <w:p w:rsidR="001F5220" w:rsidRPr="001F5220" w:rsidRDefault="001F5220" w:rsidP="001F5220">
      <w:pPr>
        <w:spacing w:after="0" w:line="240" w:lineRule="auto"/>
        <w:ind w:left="360"/>
        <w:jc w:val="both"/>
        <w:rPr>
          <w:rFonts w:ascii="Times New Roman" w:eastAsia="Times New Roman" w:hAnsi="Times New Roman" w:cs="David" w:hint="cs"/>
          <w:szCs w:val="24"/>
          <w:rtl/>
        </w:rPr>
      </w:pPr>
      <w:r w:rsidRPr="001F5220">
        <w:rPr>
          <w:rFonts w:ascii="Times New Roman" w:eastAsia="Times New Roman" w:hAnsi="Times New Roman" w:cs="David" w:hint="cs"/>
          <w:szCs w:val="24"/>
          <w:rtl/>
        </w:rPr>
        <w:t>בונוס בסוף ההתקשרות בחינה כולל של כל הכנסים:</w:t>
      </w:r>
    </w:p>
    <w:p w:rsidR="001F5220" w:rsidRPr="001F5220" w:rsidRDefault="001F5220" w:rsidP="001F5220">
      <w:pPr>
        <w:numPr>
          <w:ilvl w:val="0"/>
          <w:numId w:val="4"/>
        </w:numPr>
        <w:spacing w:after="0" w:line="240" w:lineRule="auto"/>
        <w:jc w:val="both"/>
        <w:rPr>
          <w:rFonts w:ascii="Times New Roman" w:eastAsia="Times New Roman" w:hAnsi="Times New Roman" w:cs="David" w:hint="cs"/>
          <w:b/>
          <w:bCs/>
          <w:szCs w:val="24"/>
          <w:rtl/>
        </w:rPr>
      </w:pPr>
      <w:r w:rsidRPr="001F5220">
        <w:rPr>
          <w:rFonts w:ascii="Times New Roman" w:eastAsia="Times New Roman" w:hAnsi="Times New Roman" w:cs="David" w:hint="cs"/>
          <w:szCs w:val="24"/>
          <w:rtl/>
        </w:rPr>
        <w:t xml:space="preserve">אם בלפחות 9 כנסים הגיעו למעלה מ- 10% מעל מספר המשתתפים המבוקש, ובלא יותר מ- 5 כנסים הגיעו כלל המשתתפים המבוקשים אך לא פחות מ- 10% מכמות המשתתפים המבוקשת ואם קיימת שביעות רצון כוללת של המועצה, כי אז יהיה הזוכה זכאי לגמול נוסף בסך של עד 27,000 ש"ח כולל מע"מ, </w:t>
      </w:r>
      <w:proofErr w:type="spellStart"/>
      <w:r w:rsidRPr="001F5220">
        <w:rPr>
          <w:rFonts w:ascii="Times New Roman" w:eastAsia="Times New Roman" w:hAnsi="Times New Roman" w:cs="David" w:hint="cs"/>
          <w:b/>
          <w:bCs/>
          <w:szCs w:val="24"/>
          <w:rtl/>
        </w:rPr>
        <w:t>הכל</w:t>
      </w:r>
      <w:proofErr w:type="spellEnd"/>
      <w:r w:rsidRPr="001F5220">
        <w:rPr>
          <w:rFonts w:ascii="Times New Roman" w:eastAsia="Times New Roman" w:hAnsi="Times New Roman" w:cs="David" w:hint="cs"/>
          <w:b/>
          <w:bCs/>
          <w:szCs w:val="24"/>
          <w:rtl/>
        </w:rPr>
        <w:t xml:space="preserve"> לפי שיקול דעתה הבלעדי של המועצה (והכל כפוף לשיקולי תקציב).</w:t>
      </w:r>
    </w:p>
    <w:p w:rsidR="001F5220" w:rsidRPr="001F5220" w:rsidRDefault="001F5220" w:rsidP="001F5220">
      <w:pPr>
        <w:numPr>
          <w:ilvl w:val="0"/>
          <w:numId w:val="4"/>
        </w:numPr>
        <w:spacing w:after="0" w:line="240" w:lineRule="auto"/>
        <w:jc w:val="both"/>
        <w:rPr>
          <w:rFonts w:ascii="Times New Roman" w:eastAsia="Times New Roman" w:hAnsi="Times New Roman" w:cs="David"/>
          <w:b/>
          <w:bCs/>
          <w:szCs w:val="24"/>
        </w:rPr>
      </w:pPr>
      <w:r w:rsidRPr="001F5220">
        <w:rPr>
          <w:rFonts w:ascii="Times New Roman" w:eastAsia="Times New Roman" w:hAnsi="Times New Roman" w:cs="David" w:hint="cs"/>
          <w:b/>
          <w:bCs/>
          <w:szCs w:val="24"/>
          <w:rtl/>
        </w:rPr>
        <w:t>כל הסכומים כוללים מע"מ.</w:t>
      </w:r>
    </w:p>
    <w:p w:rsidR="001F5220" w:rsidRPr="001F5220" w:rsidRDefault="001F5220" w:rsidP="001F5220">
      <w:pPr>
        <w:spacing w:line="240" w:lineRule="auto"/>
        <w:ind w:left="360"/>
        <w:contextualSpacing/>
        <w:rPr>
          <w:rFonts w:ascii="Times New Roman" w:eastAsia="Times New Roman" w:hAnsi="Times New Roman" w:cs="David"/>
          <w:sz w:val="16"/>
          <w:szCs w:val="16"/>
        </w:rPr>
      </w:pPr>
    </w:p>
    <w:p w:rsidR="001F5220" w:rsidRPr="001F5220" w:rsidRDefault="001F5220" w:rsidP="001F5220">
      <w:pPr>
        <w:numPr>
          <w:ilvl w:val="0"/>
          <w:numId w:val="1"/>
        </w:numPr>
        <w:spacing w:after="0" w:line="240" w:lineRule="auto"/>
        <w:contextualSpacing/>
        <w:jc w:val="both"/>
        <w:rPr>
          <w:rFonts w:ascii="Times New Roman" w:eastAsia="Times New Roman" w:hAnsi="Times New Roman" w:cs="David" w:hint="cs"/>
          <w:sz w:val="24"/>
          <w:szCs w:val="24"/>
          <w:rtl/>
        </w:rPr>
      </w:pPr>
      <w:r w:rsidRPr="001F5220">
        <w:rPr>
          <w:rFonts w:ascii="Times New Roman" w:eastAsia="Times New Roman" w:hAnsi="Times New Roman" w:cs="David" w:hint="cs"/>
          <w:b/>
          <w:bCs/>
          <w:sz w:val="24"/>
          <w:szCs w:val="24"/>
          <w:u w:val="single"/>
          <w:rtl/>
        </w:rPr>
        <w:t>מסמכי המכרז</w:t>
      </w:r>
    </w:p>
    <w:p w:rsidR="001F5220" w:rsidRPr="001F5220" w:rsidRDefault="001F5220" w:rsidP="001F5220">
      <w:pPr>
        <w:numPr>
          <w:ilvl w:val="1"/>
          <w:numId w:val="2"/>
        </w:numPr>
        <w:spacing w:before="240" w:after="0" w:line="240" w:lineRule="auto"/>
        <w:jc w:val="both"/>
        <w:rPr>
          <w:rFonts w:ascii="Times New Roman" w:eastAsia="Times New Roman" w:hAnsi="Times New Roman" w:cs="David"/>
          <w:szCs w:val="24"/>
        </w:rPr>
      </w:pPr>
      <w:r w:rsidRPr="001F5220">
        <w:rPr>
          <w:rFonts w:ascii="Times New Roman" w:eastAsia="Times New Roman" w:hAnsi="Times New Roman" w:cs="David" w:hint="cs"/>
          <w:szCs w:val="24"/>
          <w:rtl/>
        </w:rPr>
        <w:t>המסמכים המפורטים מטה יקראו להלן יחד ולחוד "מסמכי המכרז":</w:t>
      </w:r>
    </w:p>
    <w:p w:rsidR="001F5220" w:rsidRPr="001F5220" w:rsidRDefault="001F5220" w:rsidP="001F5220">
      <w:pPr>
        <w:spacing w:after="0" w:line="240" w:lineRule="auto"/>
        <w:ind w:left="1440"/>
        <w:jc w:val="both"/>
        <w:rPr>
          <w:rFonts w:ascii="Times New Roman" w:eastAsia="Times New Roman" w:hAnsi="Times New Roman" w:cs="David" w:hint="cs"/>
          <w:sz w:val="24"/>
          <w:szCs w:val="24"/>
          <w:rtl/>
        </w:rPr>
      </w:pPr>
      <w:r w:rsidRPr="001F5220">
        <w:rPr>
          <w:rFonts w:ascii="Times New Roman" w:eastAsia="Times New Roman" w:hAnsi="Times New Roman" w:cs="David" w:hint="cs"/>
          <w:b/>
          <w:bCs/>
          <w:sz w:val="24"/>
          <w:szCs w:val="24"/>
          <w:rtl/>
        </w:rPr>
        <w:t xml:space="preserve">מסמך זה -   </w:t>
      </w:r>
      <w:r w:rsidRPr="001F5220">
        <w:rPr>
          <w:rFonts w:ascii="Times New Roman" w:eastAsia="Times New Roman" w:hAnsi="Times New Roman" w:cs="David" w:hint="cs"/>
          <w:b/>
          <w:bCs/>
          <w:sz w:val="24"/>
          <w:szCs w:val="24"/>
          <w:rtl/>
        </w:rPr>
        <w:tab/>
        <w:t>הזמנה להציע הצעות.</w:t>
      </w:r>
    </w:p>
    <w:p w:rsidR="001F5220" w:rsidRPr="001F5220" w:rsidRDefault="001F5220" w:rsidP="001F5220">
      <w:pPr>
        <w:spacing w:after="0" w:line="240" w:lineRule="auto"/>
        <w:ind w:left="1440"/>
        <w:jc w:val="both"/>
        <w:rPr>
          <w:rFonts w:ascii="Times New Roman" w:eastAsia="Times New Roman" w:hAnsi="Times New Roman" w:cs="David" w:hint="cs"/>
          <w:b/>
          <w:bCs/>
          <w:sz w:val="24"/>
          <w:szCs w:val="24"/>
          <w:rtl/>
        </w:rPr>
      </w:pPr>
      <w:r w:rsidRPr="001F5220">
        <w:rPr>
          <w:rFonts w:ascii="Times New Roman" w:eastAsia="Times New Roman" w:hAnsi="Times New Roman" w:cs="David" w:hint="cs"/>
          <w:b/>
          <w:bCs/>
          <w:sz w:val="24"/>
          <w:szCs w:val="24"/>
          <w:rtl/>
        </w:rPr>
        <w:t>מסמך א' -</w:t>
      </w:r>
      <w:r w:rsidRPr="001F5220">
        <w:rPr>
          <w:rFonts w:ascii="Times New Roman" w:eastAsia="Times New Roman" w:hAnsi="Times New Roman" w:cs="David" w:hint="cs"/>
          <w:b/>
          <w:bCs/>
          <w:sz w:val="24"/>
          <w:szCs w:val="24"/>
          <w:rtl/>
        </w:rPr>
        <w:tab/>
        <w:t>נוסח ערבות למכרז.</w:t>
      </w:r>
    </w:p>
    <w:p w:rsidR="001F5220" w:rsidRPr="001F5220" w:rsidRDefault="001F5220" w:rsidP="001F5220">
      <w:pPr>
        <w:spacing w:after="0" w:line="240" w:lineRule="auto"/>
        <w:ind w:left="1440"/>
        <w:jc w:val="both"/>
        <w:rPr>
          <w:rFonts w:ascii="Times New Roman" w:eastAsia="Times New Roman" w:hAnsi="Times New Roman" w:cs="David" w:hint="cs"/>
          <w:b/>
          <w:bCs/>
          <w:sz w:val="24"/>
          <w:szCs w:val="24"/>
          <w:rtl/>
        </w:rPr>
      </w:pPr>
      <w:r w:rsidRPr="001F5220">
        <w:rPr>
          <w:rFonts w:ascii="Times New Roman" w:eastAsia="Times New Roman" w:hAnsi="Times New Roman" w:cs="David" w:hint="cs"/>
          <w:b/>
          <w:bCs/>
          <w:sz w:val="24"/>
          <w:szCs w:val="24"/>
          <w:rtl/>
        </w:rPr>
        <w:t xml:space="preserve">מסמך ב' -   </w:t>
      </w:r>
      <w:r w:rsidRPr="001F5220">
        <w:rPr>
          <w:rFonts w:ascii="Times New Roman" w:eastAsia="Times New Roman" w:hAnsi="Times New Roman" w:cs="David" w:hint="cs"/>
          <w:b/>
          <w:bCs/>
          <w:sz w:val="24"/>
          <w:szCs w:val="24"/>
          <w:rtl/>
        </w:rPr>
        <w:tab/>
        <w:t>הצהרת המציע.</w:t>
      </w:r>
    </w:p>
    <w:p w:rsidR="001F5220" w:rsidRPr="001F5220" w:rsidRDefault="001F5220" w:rsidP="001F5220">
      <w:pPr>
        <w:spacing w:after="0" w:line="240" w:lineRule="auto"/>
        <w:ind w:left="2925" w:hanging="1485"/>
        <w:jc w:val="both"/>
        <w:rPr>
          <w:rFonts w:ascii="Times New Roman" w:eastAsia="Times New Roman" w:hAnsi="Times New Roman" w:cs="David" w:hint="cs"/>
          <w:b/>
          <w:bCs/>
          <w:sz w:val="24"/>
          <w:szCs w:val="24"/>
          <w:rtl/>
        </w:rPr>
      </w:pPr>
      <w:r w:rsidRPr="001F5220">
        <w:rPr>
          <w:rFonts w:ascii="Times New Roman" w:eastAsia="Times New Roman" w:hAnsi="Times New Roman" w:cs="David" w:hint="cs"/>
          <w:b/>
          <w:bCs/>
          <w:sz w:val="24"/>
          <w:szCs w:val="24"/>
          <w:rtl/>
        </w:rPr>
        <w:t xml:space="preserve">מסמך ג' - </w:t>
      </w:r>
      <w:r w:rsidRPr="001F5220">
        <w:rPr>
          <w:rFonts w:ascii="Times New Roman" w:eastAsia="Times New Roman" w:hAnsi="Times New Roman" w:cs="David" w:hint="cs"/>
          <w:b/>
          <w:bCs/>
          <w:sz w:val="24"/>
          <w:szCs w:val="24"/>
          <w:rtl/>
        </w:rPr>
        <w:tab/>
        <w:t>הצעת המשתתף.</w:t>
      </w:r>
    </w:p>
    <w:p w:rsidR="001F5220" w:rsidRPr="001F5220" w:rsidRDefault="001F5220" w:rsidP="001F5220">
      <w:pPr>
        <w:spacing w:after="0" w:line="240" w:lineRule="auto"/>
        <w:ind w:left="2925" w:hanging="1485"/>
        <w:jc w:val="both"/>
        <w:rPr>
          <w:rFonts w:ascii="Times New Roman" w:eastAsia="Times New Roman" w:hAnsi="Times New Roman" w:cs="David" w:hint="cs"/>
          <w:b/>
          <w:bCs/>
          <w:sz w:val="24"/>
          <w:szCs w:val="24"/>
          <w:rtl/>
        </w:rPr>
      </w:pPr>
      <w:r w:rsidRPr="001F5220">
        <w:rPr>
          <w:rFonts w:ascii="Times New Roman" w:eastAsia="Times New Roman" w:hAnsi="Times New Roman" w:cs="David" w:hint="cs"/>
          <w:b/>
          <w:bCs/>
          <w:sz w:val="24"/>
          <w:szCs w:val="24"/>
          <w:rtl/>
        </w:rPr>
        <w:t xml:space="preserve">מסמך ד' -    </w:t>
      </w:r>
      <w:r w:rsidRPr="001F5220">
        <w:rPr>
          <w:rFonts w:ascii="Times New Roman" w:eastAsia="Times New Roman" w:hAnsi="Times New Roman" w:cs="David" w:hint="cs"/>
          <w:b/>
          <w:bCs/>
          <w:sz w:val="24"/>
          <w:szCs w:val="24"/>
          <w:rtl/>
        </w:rPr>
        <w:tab/>
        <w:t>הסכם למתן שירותי הפקת</w:t>
      </w:r>
      <w:r w:rsidRPr="001F5220">
        <w:rPr>
          <w:rFonts w:ascii="Times New Roman" w:eastAsia="Times New Roman" w:hAnsi="Times New Roman" w:cs="David" w:hint="cs"/>
          <w:szCs w:val="24"/>
          <w:rtl/>
        </w:rPr>
        <w:t xml:space="preserve"> </w:t>
      </w:r>
      <w:r w:rsidRPr="001F5220">
        <w:rPr>
          <w:rFonts w:ascii="Times New Roman" w:eastAsia="Times New Roman" w:hAnsi="Times New Roman" w:cs="David" w:hint="cs"/>
          <w:b/>
          <w:bCs/>
          <w:sz w:val="24"/>
          <w:szCs w:val="24"/>
          <w:rtl/>
        </w:rPr>
        <w:t>כנסים בתחום החקלאות לשנים 2018-2019, כולל נספחים.</w:t>
      </w:r>
    </w:p>
    <w:p w:rsidR="001F5220" w:rsidRPr="001F5220" w:rsidRDefault="001F5220" w:rsidP="001F5220">
      <w:pPr>
        <w:numPr>
          <w:ilvl w:val="1"/>
          <w:numId w:val="2"/>
        </w:numPr>
        <w:spacing w:before="120" w:after="0" w:line="240" w:lineRule="auto"/>
        <w:ind w:left="1445" w:hanging="680"/>
        <w:jc w:val="both"/>
        <w:rPr>
          <w:rFonts w:ascii="Times New Roman" w:eastAsia="Times New Roman" w:hAnsi="Times New Roman" w:cs="David" w:hint="cs"/>
          <w:szCs w:val="24"/>
          <w:rtl/>
        </w:rPr>
      </w:pPr>
      <w:r w:rsidRPr="001F5220">
        <w:rPr>
          <w:rFonts w:ascii="Times New Roman" w:eastAsia="Times New Roman" w:hAnsi="Times New Roman" w:cs="David" w:hint="cs"/>
          <w:szCs w:val="24"/>
          <w:rtl/>
        </w:rPr>
        <w:t xml:space="preserve">את מסמכי המכרז ניתן לרכוש במשרדי המועצה בשעות העבודה הרגילות, תמורת סך של 500 ש"ח, </w:t>
      </w:r>
      <w:r w:rsidRPr="001F5220">
        <w:rPr>
          <w:rFonts w:ascii="Times New Roman" w:eastAsia="Times New Roman" w:hAnsi="Times New Roman" w:cs="David" w:hint="cs"/>
          <w:b/>
          <w:bCs/>
          <w:szCs w:val="24"/>
          <w:rtl/>
        </w:rPr>
        <w:t>שלא יוחזרו.</w:t>
      </w:r>
      <w:r w:rsidRPr="001F5220">
        <w:rPr>
          <w:rFonts w:ascii="Times New Roman" w:eastAsia="Times New Roman" w:hAnsi="Times New Roman" w:cs="David" w:hint="cs"/>
          <w:szCs w:val="24"/>
          <w:rtl/>
        </w:rPr>
        <w:t xml:space="preserve"> רכישת מסמכי המכרז הינה תנאי להשתתפות במכרז.</w:t>
      </w:r>
    </w:p>
    <w:p w:rsidR="001F5220" w:rsidRPr="001F5220" w:rsidRDefault="001F5220" w:rsidP="001F5220">
      <w:pPr>
        <w:spacing w:after="0" w:line="240" w:lineRule="auto"/>
        <w:ind w:left="2130" w:hanging="1770"/>
        <w:jc w:val="both"/>
        <w:rPr>
          <w:rFonts w:ascii="Times New Roman" w:eastAsia="Times New Roman" w:hAnsi="Times New Roman" w:cs="David"/>
          <w:b/>
          <w:bCs/>
          <w:sz w:val="18"/>
          <w:szCs w:val="18"/>
        </w:rPr>
      </w:pPr>
    </w:p>
    <w:p w:rsidR="001F5220" w:rsidRPr="001F5220" w:rsidRDefault="001F5220" w:rsidP="001F5220">
      <w:pPr>
        <w:numPr>
          <w:ilvl w:val="0"/>
          <w:numId w:val="1"/>
        </w:numPr>
        <w:spacing w:after="0" w:line="240" w:lineRule="auto"/>
        <w:contextualSpacing/>
        <w:jc w:val="both"/>
        <w:rPr>
          <w:rFonts w:ascii="Times New Roman" w:eastAsia="Times New Roman" w:hAnsi="Times New Roman" w:cs="David" w:hint="cs"/>
          <w:b/>
          <w:bCs/>
          <w:sz w:val="24"/>
          <w:szCs w:val="24"/>
          <w:u w:val="single"/>
          <w:rtl/>
        </w:rPr>
      </w:pPr>
      <w:r w:rsidRPr="001F5220">
        <w:rPr>
          <w:rFonts w:ascii="Times New Roman" w:eastAsia="Times New Roman" w:hAnsi="Times New Roman" w:cs="David" w:hint="cs"/>
          <w:b/>
          <w:bCs/>
          <w:sz w:val="24"/>
          <w:szCs w:val="24"/>
          <w:u w:val="single"/>
          <w:rtl/>
        </w:rPr>
        <w:t>תנאי סף</w:t>
      </w:r>
    </w:p>
    <w:p w:rsidR="001F5220" w:rsidRPr="001F5220" w:rsidRDefault="001F5220" w:rsidP="001F5220">
      <w:pPr>
        <w:spacing w:after="0" w:line="240" w:lineRule="auto"/>
        <w:ind w:left="360"/>
        <w:jc w:val="both"/>
        <w:rPr>
          <w:rFonts w:ascii="Times New Roman" w:eastAsia="Times New Roman" w:hAnsi="Times New Roman" w:cs="David"/>
          <w:sz w:val="16"/>
          <w:szCs w:val="16"/>
        </w:rPr>
      </w:pPr>
    </w:p>
    <w:p w:rsidR="001F5220" w:rsidRPr="001F5220" w:rsidRDefault="001F5220" w:rsidP="001F5220">
      <w:pPr>
        <w:spacing w:after="0" w:line="240" w:lineRule="auto"/>
        <w:ind w:left="360"/>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 xml:space="preserve">יוכל להשתתף </w:t>
      </w:r>
      <w:r w:rsidRPr="001F5220">
        <w:rPr>
          <w:rFonts w:ascii="Times New Roman" w:eastAsia="Times New Roman" w:hAnsi="Times New Roman" w:cs="David" w:hint="cs"/>
          <w:szCs w:val="24"/>
          <w:rtl/>
        </w:rPr>
        <w:t>במכרז מציע (להלן: "</w:t>
      </w:r>
      <w:r w:rsidRPr="001F5220">
        <w:rPr>
          <w:rFonts w:ascii="Times New Roman" w:eastAsia="Times New Roman" w:hAnsi="Times New Roman" w:cs="David" w:hint="cs"/>
          <w:b/>
          <w:bCs/>
          <w:szCs w:val="24"/>
          <w:rtl/>
        </w:rPr>
        <w:t>המציע</w:t>
      </w:r>
      <w:r w:rsidRPr="001F5220">
        <w:rPr>
          <w:rFonts w:ascii="Times New Roman" w:eastAsia="Times New Roman" w:hAnsi="Times New Roman" w:cs="David" w:hint="cs"/>
          <w:szCs w:val="24"/>
          <w:rtl/>
        </w:rPr>
        <w:t xml:space="preserve">") </w:t>
      </w:r>
      <w:r w:rsidRPr="001F5220">
        <w:rPr>
          <w:rFonts w:ascii="Times New Roman" w:eastAsia="Times New Roman" w:hAnsi="Times New Roman" w:cs="David" w:hint="cs"/>
          <w:sz w:val="24"/>
          <w:szCs w:val="24"/>
          <w:rtl/>
        </w:rPr>
        <w:t xml:space="preserve">שהוא יחיד או תאגיד </w:t>
      </w:r>
      <w:r w:rsidRPr="001F5220">
        <w:rPr>
          <w:rFonts w:ascii="Times New Roman" w:eastAsia="Times New Roman" w:hAnsi="Times New Roman" w:cs="David" w:hint="cs"/>
          <w:szCs w:val="24"/>
          <w:rtl/>
        </w:rPr>
        <w:t xml:space="preserve">שהינו תאגיד הרשום כדין בישראל או יחיד שהינו עוסק מורשה </w:t>
      </w:r>
      <w:r w:rsidRPr="001F5220">
        <w:rPr>
          <w:rFonts w:ascii="Times New Roman" w:eastAsia="Times New Roman" w:hAnsi="Times New Roman" w:cs="David" w:hint="cs"/>
          <w:sz w:val="24"/>
          <w:szCs w:val="24"/>
          <w:rtl/>
        </w:rPr>
        <w:t xml:space="preserve">העומד בכל בתנאים המפורטים להלן במועד הגשת ההצעות במכרז:  </w:t>
      </w:r>
    </w:p>
    <w:p w:rsidR="001F5220" w:rsidRPr="001F5220" w:rsidRDefault="001F5220" w:rsidP="001F5220">
      <w:pPr>
        <w:spacing w:after="0" w:line="240" w:lineRule="auto"/>
        <w:ind w:left="360"/>
        <w:jc w:val="both"/>
        <w:rPr>
          <w:rFonts w:ascii="Times New Roman" w:eastAsia="Times New Roman" w:hAnsi="Times New Roman" w:cs="David" w:hint="cs"/>
          <w:sz w:val="24"/>
          <w:szCs w:val="24"/>
          <w:rtl/>
        </w:rPr>
      </w:pPr>
      <w:r w:rsidRPr="001F5220">
        <w:rPr>
          <w:rFonts w:ascii="Times New Roman" w:eastAsia="Times New Roman" w:hAnsi="Times New Roman" w:cs="David" w:hint="cs"/>
          <w:sz w:val="24"/>
          <w:szCs w:val="24"/>
          <w:rtl/>
        </w:rPr>
        <w:tab/>
      </w:r>
      <w:r w:rsidRPr="001F5220">
        <w:rPr>
          <w:rFonts w:ascii="Times New Roman" w:eastAsia="Times New Roman" w:hAnsi="Times New Roman" w:cs="David" w:hint="cs"/>
          <w:b/>
          <w:bCs/>
          <w:sz w:val="24"/>
          <w:szCs w:val="24"/>
          <w:rtl/>
        </w:rPr>
        <w:t xml:space="preserve">  </w:t>
      </w:r>
    </w:p>
    <w:p w:rsidR="001F5220" w:rsidRPr="001F5220" w:rsidRDefault="001F5220" w:rsidP="001F5220">
      <w:pPr>
        <w:numPr>
          <w:ilvl w:val="1"/>
          <w:numId w:val="3"/>
        </w:numPr>
        <w:spacing w:after="0" w:line="240" w:lineRule="auto"/>
        <w:jc w:val="both"/>
        <w:rPr>
          <w:rFonts w:ascii="Times New Roman" w:eastAsia="Times New Roman" w:hAnsi="Times New Roman" w:cs="David"/>
          <w:sz w:val="24"/>
          <w:szCs w:val="24"/>
        </w:rPr>
      </w:pPr>
      <w:r w:rsidRPr="001F5220">
        <w:rPr>
          <w:rFonts w:ascii="Times New Roman" w:eastAsia="Times New Roman" w:hAnsi="Times New Roman" w:cs="David" w:hint="cs"/>
          <w:sz w:val="24"/>
          <w:szCs w:val="24"/>
          <w:rtl/>
        </w:rPr>
        <w:t>המציע הפיק לפחות חמישה (5) כנסים לחקלאים, שתקציבם המצטבר בהיקף של לפחות 150,000 ₪, וכאשר תקציבו של לפחות אחד מהם כפי שרוכז בידי המציע בפועל עולה על 80,000 ש"ח, והכל במהלך 3 השנים האחרונות שקדמו למועד האחרון להגשת ההצעות למכרז.</w:t>
      </w:r>
    </w:p>
    <w:p w:rsidR="001F5220" w:rsidRPr="001F5220" w:rsidRDefault="001F5220" w:rsidP="001F5220">
      <w:pPr>
        <w:numPr>
          <w:ilvl w:val="1"/>
          <w:numId w:val="3"/>
        </w:numPr>
        <w:spacing w:before="240" w:after="0" w:line="240" w:lineRule="auto"/>
        <w:jc w:val="both"/>
        <w:rPr>
          <w:rFonts w:ascii="Times New Roman" w:eastAsia="Times New Roman" w:hAnsi="Times New Roman" w:cs="David"/>
          <w:sz w:val="24"/>
          <w:szCs w:val="24"/>
        </w:rPr>
      </w:pPr>
      <w:r w:rsidRPr="001F5220">
        <w:rPr>
          <w:rFonts w:ascii="Times New Roman" w:eastAsia="Times New Roman" w:hAnsi="Times New Roman" w:cs="David" w:hint="cs"/>
          <w:sz w:val="24"/>
          <w:szCs w:val="24"/>
          <w:rtl/>
        </w:rPr>
        <w:t>המציע ו/או מי ממנהליו ו/או עובדיו הבכירים בעל תואר בתחומי החקלאות. יש לצרף פרטים ותעודות לתמיכה בעמידה בתנאי סף זה.</w:t>
      </w:r>
    </w:p>
    <w:p w:rsidR="001F5220" w:rsidRPr="001F5220" w:rsidRDefault="001F5220" w:rsidP="001F5220">
      <w:pPr>
        <w:numPr>
          <w:ilvl w:val="1"/>
          <w:numId w:val="3"/>
        </w:numPr>
        <w:spacing w:before="120" w:after="0" w:line="240" w:lineRule="auto"/>
        <w:ind w:hanging="431"/>
        <w:jc w:val="both"/>
        <w:rPr>
          <w:rFonts w:ascii="Times New Roman" w:eastAsia="Times New Roman" w:hAnsi="Times New Roman" w:cs="David"/>
          <w:sz w:val="24"/>
          <w:szCs w:val="24"/>
        </w:rPr>
      </w:pPr>
      <w:r w:rsidRPr="001F5220">
        <w:rPr>
          <w:rFonts w:ascii="Times New Roman" w:eastAsia="Times New Roman" w:hAnsi="Times New Roman" w:cs="David" w:hint="cs"/>
          <w:sz w:val="24"/>
          <w:szCs w:val="24"/>
          <w:rtl/>
        </w:rPr>
        <w:t>המציע או מי ממנהליו ו/או עובדיו הבכירים בעל ניסיון בתחומי הייעוץ ו/או המחקר בחקלאות. יש לצרף פרטים ותעודות לתמיכה בעמידה בתנאי סף זה.</w:t>
      </w:r>
    </w:p>
    <w:p w:rsidR="001F5220" w:rsidRPr="001F5220" w:rsidRDefault="001F5220" w:rsidP="001F5220">
      <w:pPr>
        <w:spacing w:after="0" w:line="240" w:lineRule="auto"/>
        <w:ind w:left="792"/>
        <w:jc w:val="both"/>
        <w:rPr>
          <w:rFonts w:ascii="Times New Roman" w:eastAsia="Times New Roman" w:hAnsi="Times New Roman" w:cs="David"/>
          <w:sz w:val="24"/>
          <w:szCs w:val="24"/>
        </w:rPr>
      </w:pPr>
    </w:p>
    <w:p w:rsidR="001F5220" w:rsidRPr="001F5220" w:rsidRDefault="001F5220" w:rsidP="001F5220">
      <w:pPr>
        <w:numPr>
          <w:ilvl w:val="0"/>
          <w:numId w:val="1"/>
        </w:numPr>
        <w:spacing w:after="0" w:line="240" w:lineRule="auto"/>
        <w:contextualSpacing/>
        <w:jc w:val="both"/>
        <w:rPr>
          <w:rFonts w:ascii="Times New Roman" w:eastAsia="Times New Roman" w:hAnsi="Times New Roman" w:cs="David"/>
          <w:b/>
          <w:bCs/>
          <w:sz w:val="24"/>
          <w:szCs w:val="24"/>
          <w:u w:val="single"/>
        </w:rPr>
      </w:pPr>
      <w:r w:rsidRPr="001F5220">
        <w:rPr>
          <w:rFonts w:ascii="Times New Roman" w:eastAsia="Times New Roman" w:hAnsi="Times New Roman" w:cs="David" w:hint="cs"/>
          <w:b/>
          <w:bCs/>
          <w:sz w:val="24"/>
          <w:szCs w:val="24"/>
          <w:u w:val="single"/>
          <w:rtl/>
        </w:rPr>
        <w:t>השירותים</w:t>
      </w:r>
    </w:p>
    <w:p w:rsidR="001F5220" w:rsidRPr="001F5220" w:rsidRDefault="001F5220" w:rsidP="001F5220">
      <w:pPr>
        <w:spacing w:after="0" w:line="240" w:lineRule="auto"/>
        <w:ind w:left="360"/>
        <w:jc w:val="both"/>
        <w:rPr>
          <w:rFonts w:ascii="Times New Roman" w:eastAsia="Times New Roman" w:hAnsi="Times New Roman" w:cs="David"/>
          <w:sz w:val="14"/>
          <w:szCs w:val="14"/>
          <w:u w:val="single"/>
        </w:rPr>
      </w:pPr>
    </w:p>
    <w:p w:rsidR="001F5220" w:rsidRPr="001F5220" w:rsidRDefault="001F5220" w:rsidP="001F5220">
      <w:pPr>
        <w:numPr>
          <w:ilvl w:val="0"/>
          <w:numId w:val="5"/>
        </w:numPr>
        <w:spacing w:after="0" w:line="240" w:lineRule="auto"/>
        <w:jc w:val="both"/>
        <w:rPr>
          <w:rFonts w:ascii="Times New Roman" w:eastAsia="Times New Roman" w:hAnsi="Times New Roman" w:cs="David"/>
          <w:sz w:val="24"/>
          <w:szCs w:val="24"/>
        </w:rPr>
      </w:pPr>
      <w:r w:rsidRPr="001F5220">
        <w:rPr>
          <w:rFonts w:ascii="Times New Roman" w:eastAsia="Times New Roman" w:hAnsi="Times New Roman" w:cs="David" w:hint="cs"/>
          <w:sz w:val="24"/>
          <w:szCs w:val="24"/>
          <w:rtl/>
        </w:rPr>
        <w:t xml:space="preserve">המציע שייבחר בהליך (להלן: </w:t>
      </w:r>
      <w:r w:rsidRPr="001F5220">
        <w:rPr>
          <w:rFonts w:ascii="Times New Roman" w:eastAsia="Times New Roman" w:hAnsi="Times New Roman" w:cs="David" w:hint="cs"/>
          <w:b/>
          <w:bCs/>
          <w:sz w:val="24"/>
          <w:szCs w:val="24"/>
          <w:rtl/>
        </w:rPr>
        <w:t>"הזוכה</w:t>
      </w:r>
      <w:r w:rsidRPr="001F5220">
        <w:rPr>
          <w:rFonts w:ascii="Times New Roman" w:eastAsia="Times New Roman" w:hAnsi="Times New Roman" w:cs="David" w:hint="cs"/>
          <w:sz w:val="24"/>
          <w:szCs w:val="24"/>
          <w:rtl/>
        </w:rPr>
        <w:t xml:space="preserve">") יידרש </w:t>
      </w:r>
      <w:proofErr w:type="spellStart"/>
      <w:r w:rsidRPr="001F5220">
        <w:rPr>
          <w:rFonts w:ascii="Times New Roman" w:eastAsia="Times New Roman" w:hAnsi="Times New Roman" w:cs="David" w:hint="cs"/>
          <w:sz w:val="24"/>
          <w:szCs w:val="24"/>
          <w:rtl/>
        </w:rPr>
        <w:t>ליתן</w:t>
      </w:r>
      <w:proofErr w:type="spellEnd"/>
      <w:r w:rsidRPr="001F5220">
        <w:rPr>
          <w:rFonts w:ascii="Times New Roman" w:eastAsia="Times New Roman" w:hAnsi="Times New Roman" w:cs="David" w:hint="cs"/>
          <w:sz w:val="24"/>
          <w:szCs w:val="24"/>
          <w:rtl/>
        </w:rPr>
        <w:t xml:space="preserve"> למועצה שירותי הפקת כנסים בתחום החקלאות לשנים 2018-2019, ולרבות השירותים המפורטים </w:t>
      </w:r>
      <w:r w:rsidRPr="001F5220">
        <w:rPr>
          <w:rFonts w:ascii="Times New Roman" w:eastAsia="Times New Roman" w:hAnsi="Times New Roman" w:cs="David" w:hint="cs"/>
          <w:b/>
          <w:bCs/>
          <w:sz w:val="24"/>
          <w:szCs w:val="24"/>
          <w:u w:val="single"/>
          <w:rtl/>
        </w:rPr>
        <w:t>בנספח א'</w:t>
      </w:r>
      <w:r w:rsidRPr="001F5220">
        <w:rPr>
          <w:rFonts w:ascii="Times New Roman" w:eastAsia="Times New Roman" w:hAnsi="Times New Roman" w:cs="David" w:hint="cs"/>
          <w:sz w:val="24"/>
          <w:szCs w:val="24"/>
          <w:rtl/>
        </w:rPr>
        <w:t xml:space="preserve"> להסכם (להלן ולעיל: "</w:t>
      </w:r>
      <w:r w:rsidRPr="001F5220">
        <w:rPr>
          <w:rFonts w:ascii="Times New Roman" w:eastAsia="Times New Roman" w:hAnsi="Times New Roman" w:cs="David" w:hint="cs"/>
          <w:b/>
          <w:bCs/>
          <w:sz w:val="24"/>
          <w:szCs w:val="24"/>
          <w:rtl/>
        </w:rPr>
        <w:t>השירותים</w:t>
      </w:r>
      <w:r w:rsidRPr="001F5220">
        <w:rPr>
          <w:rFonts w:ascii="Times New Roman" w:eastAsia="Times New Roman" w:hAnsi="Times New Roman" w:cs="David" w:hint="cs"/>
          <w:sz w:val="24"/>
          <w:szCs w:val="24"/>
          <w:rtl/>
        </w:rPr>
        <w:t>").</w:t>
      </w:r>
    </w:p>
    <w:p w:rsidR="001F5220" w:rsidRPr="001F5220" w:rsidRDefault="001F5220" w:rsidP="001F5220">
      <w:pPr>
        <w:numPr>
          <w:ilvl w:val="0"/>
          <w:numId w:val="5"/>
        </w:numPr>
        <w:spacing w:after="0" w:line="240" w:lineRule="auto"/>
        <w:jc w:val="both"/>
        <w:rPr>
          <w:rFonts w:ascii="Times New Roman" w:eastAsia="Times New Roman" w:hAnsi="Times New Roman" w:cs="David"/>
          <w:sz w:val="24"/>
          <w:szCs w:val="24"/>
          <w:rtl/>
        </w:rPr>
      </w:pPr>
      <w:r w:rsidRPr="001F5220">
        <w:rPr>
          <w:rFonts w:ascii="Times New Roman" w:eastAsia="Times New Roman" w:hAnsi="Times New Roman" w:cs="David" w:hint="cs"/>
          <w:sz w:val="24"/>
          <w:szCs w:val="24"/>
          <w:rtl/>
        </w:rPr>
        <w:t>מובהר כי</w:t>
      </w:r>
      <w:r w:rsidRPr="001F5220">
        <w:rPr>
          <w:rFonts w:ascii="Times New Roman" w:eastAsia="Times New Roman" w:hAnsi="Times New Roman" w:cs="David"/>
          <w:sz w:val="24"/>
          <w:szCs w:val="24"/>
          <w:rtl/>
        </w:rPr>
        <w:t xml:space="preserve"> </w:t>
      </w:r>
      <w:r w:rsidRPr="001F5220">
        <w:rPr>
          <w:rFonts w:ascii="Times New Roman" w:eastAsia="Times New Roman" w:hAnsi="Times New Roman" w:cs="David" w:hint="cs"/>
          <w:sz w:val="24"/>
          <w:szCs w:val="24"/>
          <w:rtl/>
        </w:rPr>
        <w:t>אין</w:t>
      </w:r>
      <w:r w:rsidRPr="001F5220">
        <w:rPr>
          <w:rFonts w:ascii="Times New Roman" w:eastAsia="Times New Roman" w:hAnsi="Times New Roman" w:cs="David"/>
          <w:sz w:val="24"/>
          <w:szCs w:val="24"/>
          <w:rtl/>
        </w:rPr>
        <w:t xml:space="preserve"> </w:t>
      </w:r>
      <w:r w:rsidRPr="001F5220">
        <w:rPr>
          <w:rFonts w:ascii="Times New Roman" w:eastAsia="Times New Roman" w:hAnsi="Times New Roman" w:cs="David" w:hint="cs"/>
          <w:sz w:val="24"/>
          <w:szCs w:val="24"/>
          <w:rtl/>
        </w:rPr>
        <w:t>בהתקשרות עם המועצה כדי להוות היתר או רישיון כלשהו הנדרש לצורך הפקת וקיום הכנסים, או התחייבות של המועצה לפעול לשם קבלתם, וכי באחריותו הבלעדית של הזוכה לדאוג לקבלת כל האישורים, הרישיונות וההיתרים הדרושים לשם כך, לרבות רישיון עסק, ככל שנדרש</w:t>
      </w:r>
      <w:r w:rsidRPr="001F5220">
        <w:rPr>
          <w:rFonts w:ascii="Times New Roman" w:eastAsia="Times New Roman" w:hAnsi="Times New Roman" w:cs="David"/>
          <w:sz w:val="24"/>
          <w:szCs w:val="24"/>
          <w:rtl/>
        </w:rPr>
        <w:t>.</w:t>
      </w:r>
    </w:p>
    <w:p w:rsidR="001F5220" w:rsidRPr="001F5220" w:rsidRDefault="001F5220" w:rsidP="001F5220">
      <w:pPr>
        <w:spacing w:line="240" w:lineRule="auto"/>
        <w:ind w:left="360"/>
        <w:contextualSpacing/>
        <w:rPr>
          <w:rFonts w:ascii="Times New Roman" w:eastAsia="Times New Roman" w:hAnsi="Times New Roman" w:cs="David" w:hint="cs"/>
          <w:b/>
          <w:bCs/>
          <w:sz w:val="24"/>
          <w:szCs w:val="24"/>
          <w:u w:val="single"/>
          <w:rtl/>
        </w:rPr>
      </w:pPr>
    </w:p>
    <w:p w:rsidR="00B2197E" w:rsidRDefault="00B2197E"/>
    <w:sectPr w:rsidR="00B2197E"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AEC"/>
    <w:multiLevelType w:val="hybridMultilevel"/>
    <w:tmpl w:val="3892ADF6"/>
    <w:lvl w:ilvl="0" w:tplc="E6EEC774">
      <w:start w:val="1"/>
      <w:numFmt w:val="decimal"/>
      <w:lvlText w:val="%1."/>
      <w:lvlJc w:val="left"/>
      <w:pPr>
        <w:ind w:left="720" w:hanging="360"/>
      </w:pPr>
      <w:rPr>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3477E8"/>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nsid w:val="58DB0632"/>
    <w:multiLevelType w:val="multilevel"/>
    <w:tmpl w:val="36E8DEAC"/>
    <w:lvl w:ilvl="0">
      <w:start w:val="1"/>
      <w:numFmt w:val="decimal"/>
      <w:lvlText w:val="%1."/>
      <w:lvlJc w:val="right"/>
      <w:pPr>
        <w:tabs>
          <w:tab w:val="num" w:pos="709"/>
        </w:tabs>
        <w:ind w:left="709" w:hanging="596"/>
      </w:pPr>
      <w:rPr>
        <w:rFonts w:hint="default"/>
      </w:rPr>
    </w:lvl>
    <w:lvl w:ilvl="1">
      <w:start w:val="1"/>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5E49535D"/>
    <w:multiLevelType w:val="hybridMultilevel"/>
    <w:tmpl w:val="4E6033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283944"/>
    <w:multiLevelType w:val="hybridMultilevel"/>
    <w:tmpl w:val="6FE08608"/>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20"/>
    <w:rsid w:val="001464DD"/>
    <w:rsid w:val="001F5220"/>
    <w:rsid w:val="00B21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3685</Characters>
  <Application>Microsoft Office Word</Application>
  <DocSecurity>0</DocSecurity>
  <Lines>136</Lines>
  <Paragraphs>52</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2018-06-14T04:20:00Z</dcterms:created>
</cp:coreProperties>
</file>