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78" w:rsidRDefault="005B0B78" w:rsidP="005B0B78">
      <w:pPr>
        <w:rPr>
          <w:b/>
          <w:bCs/>
          <w:sz w:val="24"/>
        </w:rPr>
      </w:pPr>
    </w:p>
    <w:p w:rsidR="005B0B78" w:rsidRDefault="005B0B78" w:rsidP="005B0B78">
      <w:pPr>
        <w:pStyle w:val="ecostar"/>
        <w:spacing w:line="240" w:lineRule="auto"/>
        <w:jc w:val="center"/>
        <w:rPr>
          <w:rFonts w:cs="David" w:hint="cs"/>
          <w:b/>
          <w:bCs/>
          <w:sz w:val="24"/>
          <w:szCs w:val="32"/>
          <w:rtl/>
        </w:rPr>
      </w:pPr>
      <w:r>
        <w:rPr>
          <w:rFonts w:cs="David" w:hint="cs"/>
          <w:b/>
          <w:bCs/>
          <w:sz w:val="24"/>
          <w:szCs w:val="32"/>
          <w:rtl/>
        </w:rPr>
        <w:t>המועצה האזורית גולן</w:t>
      </w:r>
    </w:p>
    <w:p w:rsidR="005B0B78" w:rsidRDefault="005B0B78" w:rsidP="005B0B78">
      <w:pPr>
        <w:spacing w:before="240"/>
        <w:jc w:val="center"/>
        <w:rPr>
          <w:rFonts w:hint="cs"/>
          <w:b/>
          <w:bCs/>
          <w:sz w:val="24"/>
          <w:szCs w:val="32"/>
          <w:rtl/>
        </w:rPr>
      </w:pPr>
      <w:r>
        <w:rPr>
          <w:rFonts w:hint="cs"/>
          <w:b/>
          <w:bCs/>
          <w:sz w:val="24"/>
          <w:szCs w:val="32"/>
          <w:rtl/>
        </w:rPr>
        <w:t>מכרז פומבי מס' 20/2018</w:t>
      </w:r>
    </w:p>
    <w:p w:rsidR="005B0B78" w:rsidRDefault="005B0B78" w:rsidP="005B0B78">
      <w:pPr>
        <w:pStyle w:val="ecostar"/>
        <w:spacing w:before="240" w:line="240" w:lineRule="auto"/>
        <w:jc w:val="center"/>
        <w:rPr>
          <w:rFonts w:cs="David" w:hint="cs"/>
          <w:b/>
          <w:bCs/>
          <w:sz w:val="24"/>
          <w:szCs w:val="32"/>
          <w:rtl/>
        </w:rPr>
      </w:pPr>
      <w:r>
        <w:rPr>
          <w:rFonts w:cs="David" w:hint="cs"/>
          <w:b/>
          <w:bCs/>
          <w:sz w:val="24"/>
          <w:szCs w:val="32"/>
          <w:rtl/>
        </w:rPr>
        <w:t xml:space="preserve">ריסוק ופינוי גזם </w:t>
      </w:r>
    </w:p>
    <w:p w:rsidR="005B0B78" w:rsidRDefault="005B0B78" w:rsidP="005B0B78">
      <w:pPr>
        <w:pStyle w:val="ecostar"/>
        <w:spacing w:line="240" w:lineRule="auto"/>
        <w:jc w:val="center"/>
        <w:rPr>
          <w:rFonts w:cs="David" w:hint="cs"/>
          <w:sz w:val="24"/>
          <w:szCs w:val="24"/>
          <w:rtl/>
        </w:rPr>
      </w:pPr>
    </w:p>
    <w:p w:rsidR="005B0B78" w:rsidRDefault="005B0B78" w:rsidP="005B0B78">
      <w:pPr>
        <w:tabs>
          <w:tab w:val="left" w:pos="1418"/>
          <w:tab w:val="left" w:pos="5387"/>
        </w:tabs>
        <w:jc w:val="center"/>
        <w:rPr>
          <w:rFonts w:hint="cs"/>
          <w:sz w:val="32"/>
          <w:szCs w:val="32"/>
          <w:u w:val="single"/>
          <w:rtl/>
        </w:rPr>
      </w:pPr>
      <w:r>
        <w:rPr>
          <w:rFonts w:hint="cs"/>
          <w:b/>
          <w:bCs/>
          <w:sz w:val="32"/>
          <w:szCs w:val="32"/>
          <w:u w:val="single"/>
          <w:rtl/>
        </w:rPr>
        <w:t>הזמנה להציע הצעות</w:t>
      </w:r>
    </w:p>
    <w:p w:rsidR="005B0B78" w:rsidRDefault="005B0B78" w:rsidP="005B0B78">
      <w:pPr>
        <w:tabs>
          <w:tab w:val="left" w:pos="1418"/>
          <w:tab w:val="left" w:pos="5387"/>
        </w:tabs>
        <w:jc w:val="center"/>
        <w:rPr>
          <w:rFonts w:hint="cs"/>
          <w:rtl/>
        </w:rPr>
      </w:pPr>
    </w:p>
    <w:p w:rsidR="005B0B78" w:rsidRDefault="005B0B78" w:rsidP="005B0B78">
      <w:pPr>
        <w:rPr>
          <w:rFonts w:hint="cs"/>
          <w:rtl/>
        </w:rPr>
      </w:pPr>
    </w:p>
    <w:p w:rsidR="005B0B78" w:rsidRDefault="005B0B78" w:rsidP="005B0B78">
      <w:pPr>
        <w:numPr>
          <w:ilvl w:val="0"/>
          <w:numId w:val="1"/>
        </w:numPr>
        <w:rPr>
          <w:rFonts w:hint="cs"/>
          <w:rtl/>
        </w:rPr>
      </w:pPr>
      <w:r>
        <w:rPr>
          <w:rFonts w:hint="cs"/>
          <w:rtl/>
        </w:rPr>
        <w:t xml:space="preserve">מועצה אזורית גולן (להלן - </w:t>
      </w:r>
      <w:r>
        <w:rPr>
          <w:rFonts w:hint="cs"/>
          <w:b/>
          <w:bCs/>
          <w:rtl/>
        </w:rPr>
        <w:t>"המועצה"</w:t>
      </w:r>
      <w:r>
        <w:rPr>
          <w:rFonts w:hint="cs"/>
          <w:rtl/>
        </w:rPr>
        <w:t>), מזמינה בזה הצעות לביצוע עבודות ריסוק ופינוי גזם ביישובי גולן על בסיס מתן שירות קבלני למועצה (להלן: "</w:t>
      </w:r>
      <w:r>
        <w:rPr>
          <w:rFonts w:hint="cs"/>
          <w:b/>
          <w:bCs/>
          <w:rtl/>
        </w:rPr>
        <w:t>המכרז</w:t>
      </w:r>
      <w:r>
        <w:rPr>
          <w:rFonts w:hint="cs"/>
          <w:rtl/>
        </w:rPr>
        <w:t xml:space="preserve">") </w:t>
      </w:r>
      <w:proofErr w:type="spellStart"/>
      <w:r>
        <w:rPr>
          <w:rFonts w:hint="cs"/>
          <w:rtl/>
        </w:rPr>
        <w:t>הכל</w:t>
      </w:r>
      <w:proofErr w:type="spellEnd"/>
      <w:r>
        <w:rPr>
          <w:rFonts w:hint="cs"/>
          <w:rtl/>
        </w:rPr>
        <w:t xml:space="preserve"> בהתאם </w:t>
      </w:r>
      <w:r>
        <w:rPr>
          <w:rFonts w:hint="cs"/>
          <w:sz w:val="24"/>
          <w:rtl/>
        </w:rPr>
        <w:t>למפורט להלן במסמכי המכרז.</w:t>
      </w:r>
    </w:p>
    <w:p w:rsidR="005B0B78" w:rsidRPr="00DF69EA" w:rsidRDefault="005B0B78" w:rsidP="005B0B78">
      <w:pPr>
        <w:numPr>
          <w:ilvl w:val="0"/>
          <w:numId w:val="1"/>
        </w:numPr>
        <w:spacing w:before="240"/>
        <w:rPr>
          <w:rFonts w:ascii="Tahoma" w:hAnsi="Tahoma" w:hint="cs"/>
          <w:b/>
          <w:bCs/>
          <w:sz w:val="24"/>
        </w:rPr>
      </w:pPr>
      <w:r w:rsidRPr="00DF69EA">
        <w:rPr>
          <w:rFonts w:ascii="Tahoma" w:hAnsi="Tahoma"/>
          <w:b/>
          <w:bCs/>
          <w:sz w:val="24"/>
          <w:rtl/>
        </w:rPr>
        <w:t>מסמכי המכרז</w:t>
      </w:r>
    </w:p>
    <w:p w:rsidR="005B0B78" w:rsidRPr="00DF69EA" w:rsidRDefault="005B0B78" w:rsidP="005B0B78">
      <w:pPr>
        <w:numPr>
          <w:ilvl w:val="1"/>
          <w:numId w:val="1"/>
        </w:numPr>
        <w:spacing w:before="240"/>
        <w:rPr>
          <w:rFonts w:ascii="Tahoma" w:hAnsi="Tahoma"/>
          <w:b/>
          <w:bCs/>
          <w:sz w:val="24"/>
          <w:rtl/>
        </w:rPr>
      </w:pPr>
      <w:r w:rsidRPr="00DF69EA">
        <w:rPr>
          <w:rFonts w:ascii="Tahoma" w:hAnsi="Tahoma"/>
          <w:b/>
          <w:bCs/>
          <w:sz w:val="24"/>
          <w:rtl/>
        </w:rPr>
        <w:t xml:space="preserve"> </w:t>
      </w:r>
      <w:r w:rsidRPr="00DF69EA">
        <w:rPr>
          <w:rFonts w:ascii="Tahoma" w:hAnsi="Tahoma"/>
          <w:sz w:val="24"/>
          <w:rtl/>
        </w:rPr>
        <w:t xml:space="preserve">המסמכים המפורטים מטה יקראו להלן יחד ולחוד </w:t>
      </w:r>
      <w:r w:rsidRPr="00DF69EA">
        <w:rPr>
          <w:rFonts w:ascii="Tahoma" w:hAnsi="Tahoma"/>
          <w:b/>
          <w:bCs/>
          <w:sz w:val="24"/>
          <w:rtl/>
        </w:rPr>
        <w:t>" מסמכי המכרז"</w:t>
      </w:r>
      <w:r w:rsidRPr="00DF69EA">
        <w:rPr>
          <w:rFonts w:ascii="Tahoma" w:hAnsi="Tahoma"/>
          <w:sz w:val="24"/>
          <w:rtl/>
        </w:rPr>
        <w:t>:</w:t>
      </w:r>
    </w:p>
    <w:p w:rsidR="005B0B78" w:rsidRPr="00DF69EA" w:rsidRDefault="005B0B78" w:rsidP="005B0B78">
      <w:pPr>
        <w:ind w:left="29"/>
        <w:rPr>
          <w:rFonts w:ascii="Tahoma" w:hAnsi="Tahoma" w:hint="cs"/>
          <w:sz w:val="24"/>
          <w:rtl/>
        </w:rPr>
      </w:pPr>
    </w:p>
    <w:p w:rsidR="005B0B78" w:rsidRPr="00DF69EA" w:rsidRDefault="005B0B78" w:rsidP="005B0B78">
      <w:pPr>
        <w:tabs>
          <w:tab w:val="left" w:pos="284"/>
        </w:tabs>
        <w:ind w:left="29"/>
        <w:rPr>
          <w:rFonts w:ascii="Tahoma" w:hAnsi="Tahoma" w:hint="cs"/>
          <w:b/>
          <w:bCs/>
          <w:sz w:val="24"/>
          <w:rtl/>
        </w:rPr>
      </w:pPr>
      <w:r w:rsidRPr="00DF69EA">
        <w:rPr>
          <w:rFonts w:ascii="Tahoma" w:hAnsi="Tahoma"/>
          <w:b/>
          <w:bCs/>
          <w:sz w:val="24"/>
          <w:rtl/>
        </w:rPr>
        <w:t xml:space="preserve">   </w:t>
      </w:r>
      <w:r w:rsidRPr="00DF69EA">
        <w:rPr>
          <w:rFonts w:ascii="Tahoma" w:hAnsi="Tahoma" w:hint="cs"/>
          <w:b/>
          <w:bCs/>
          <w:sz w:val="24"/>
          <w:rtl/>
        </w:rPr>
        <w:t xml:space="preserve">  </w:t>
      </w:r>
      <w:r w:rsidRPr="00DF69EA">
        <w:rPr>
          <w:rFonts w:ascii="Tahoma" w:hAnsi="Tahoma"/>
          <w:b/>
          <w:bCs/>
          <w:sz w:val="24"/>
          <w:rtl/>
        </w:rPr>
        <w:t xml:space="preserve">   </w:t>
      </w:r>
      <w:r w:rsidRPr="00DF69EA">
        <w:rPr>
          <w:rFonts w:ascii="Tahoma" w:hAnsi="Tahoma" w:hint="cs"/>
          <w:b/>
          <w:bCs/>
          <w:sz w:val="24"/>
          <w:rtl/>
        </w:rPr>
        <w:tab/>
      </w:r>
      <w:r w:rsidRPr="00DF69EA">
        <w:rPr>
          <w:rFonts w:ascii="Tahoma" w:hAnsi="Tahoma" w:hint="cs"/>
          <w:b/>
          <w:bCs/>
          <w:sz w:val="24"/>
          <w:rtl/>
        </w:rPr>
        <w:tab/>
        <w:t xml:space="preserve"> מסמך א</w:t>
      </w:r>
      <w:r w:rsidRPr="00DF69EA">
        <w:rPr>
          <w:rFonts w:ascii="Tahoma" w:hAnsi="Tahoma"/>
          <w:b/>
          <w:bCs/>
          <w:sz w:val="24"/>
          <w:rtl/>
        </w:rPr>
        <w:t>'</w:t>
      </w:r>
      <w:r w:rsidRPr="00DF69EA">
        <w:rPr>
          <w:rFonts w:ascii="Tahoma" w:hAnsi="Tahoma" w:hint="cs"/>
          <w:b/>
          <w:bCs/>
          <w:sz w:val="24"/>
          <w:rtl/>
        </w:rPr>
        <w:t xml:space="preserve"> </w:t>
      </w:r>
      <w:r w:rsidRPr="00DF69EA">
        <w:rPr>
          <w:rFonts w:ascii="Tahoma" w:hAnsi="Tahoma"/>
          <w:b/>
          <w:bCs/>
          <w:sz w:val="24"/>
          <w:rtl/>
        </w:rPr>
        <w:t xml:space="preserve">-  </w:t>
      </w:r>
      <w:r w:rsidRPr="00DF69EA">
        <w:rPr>
          <w:rFonts w:ascii="Tahoma" w:hAnsi="Tahoma" w:hint="cs"/>
          <w:b/>
          <w:bCs/>
          <w:sz w:val="24"/>
          <w:rtl/>
        </w:rPr>
        <w:t xml:space="preserve"> הזמנה להציע הצעות וערבות מכרז</w:t>
      </w:r>
    </w:p>
    <w:p w:rsidR="005B0B78" w:rsidRPr="00DF69EA" w:rsidRDefault="005B0B78" w:rsidP="005B0B78">
      <w:pPr>
        <w:tabs>
          <w:tab w:val="left" w:pos="284"/>
        </w:tabs>
        <w:ind w:left="29"/>
        <w:rPr>
          <w:rFonts w:ascii="Tahoma" w:hAnsi="Tahoma" w:hint="cs"/>
          <w:b/>
          <w:bCs/>
          <w:sz w:val="24"/>
          <w:rtl/>
        </w:rPr>
      </w:pPr>
    </w:p>
    <w:p w:rsidR="005B0B78" w:rsidRPr="00DF69EA" w:rsidRDefault="005B0B78" w:rsidP="005B0B78">
      <w:pPr>
        <w:ind w:left="29"/>
        <w:rPr>
          <w:rFonts w:ascii="Tahoma" w:hAnsi="Tahoma" w:hint="cs"/>
          <w:b/>
          <w:bCs/>
          <w:sz w:val="24"/>
          <w:rtl/>
        </w:rPr>
      </w:pPr>
      <w:r w:rsidRPr="00DF69EA">
        <w:rPr>
          <w:rFonts w:ascii="Tahoma" w:hAnsi="Tahoma"/>
          <w:b/>
          <w:bCs/>
          <w:sz w:val="24"/>
          <w:rtl/>
        </w:rPr>
        <w:t xml:space="preserve">    </w:t>
      </w:r>
      <w:r w:rsidRPr="00DF69EA">
        <w:rPr>
          <w:rFonts w:ascii="Tahoma" w:hAnsi="Tahoma" w:hint="cs"/>
          <w:b/>
          <w:bCs/>
          <w:sz w:val="24"/>
          <w:rtl/>
        </w:rPr>
        <w:t xml:space="preserve">  </w:t>
      </w:r>
      <w:r w:rsidRPr="00DF69EA">
        <w:rPr>
          <w:rFonts w:ascii="Tahoma" w:hAnsi="Tahoma"/>
          <w:b/>
          <w:bCs/>
          <w:sz w:val="24"/>
          <w:rtl/>
        </w:rPr>
        <w:t xml:space="preserve"> </w:t>
      </w:r>
      <w:r w:rsidRPr="00DF69EA">
        <w:rPr>
          <w:rFonts w:ascii="Tahoma" w:hAnsi="Tahoma" w:hint="cs"/>
          <w:b/>
          <w:bCs/>
          <w:sz w:val="24"/>
          <w:rtl/>
        </w:rPr>
        <w:tab/>
      </w:r>
      <w:r w:rsidRPr="00DF69EA">
        <w:rPr>
          <w:rFonts w:ascii="Tahoma" w:hAnsi="Tahoma" w:hint="cs"/>
          <w:b/>
          <w:bCs/>
          <w:sz w:val="24"/>
          <w:rtl/>
        </w:rPr>
        <w:tab/>
        <w:t xml:space="preserve"> </w:t>
      </w:r>
      <w:r w:rsidRPr="00DF69EA">
        <w:rPr>
          <w:rFonts w:ascii="Tahoma" w:hAnsi="Tahoma"/>
          <w:b/>
          <w:bCs/>
          <w:sz w:val="24"/>
          <w:rtl/>
        </w:rPr>
        <w:t xml:space="preserve">מסמך </w:t>
      </w:r>
      <w:r w:rsidRPr="00DF69EA">
        <w:rPr>
          <w:rFonts w:ascii="Tahoma" w:hAnsi="Tahoma" w:hint="cs"/>
          <w:b/>
          <w:bCs/>
          <w:sz w:val="24"/>
          <w:rtl/>
        </w:rPr>
        <w:t>ב</w:t>
      </w:r>
      <w:r w:rsidRPr="00DF69EA">
        <w:rPr>
          <w:rFonts w:ascii="Tahoma" w:hAnsi="Tahoma"/>
          <w:b/>
          <w:bCs/>
          <w:sz w:val="24"/>
          <w:rtl/>
        </w:rPr>
        <w:t>'</w:t>
      </w:r>
      <w:r w:rsidRPr="00DF69EA">
        <w:rPr>
          <w:rFonts w:ascii="Tahoma" w:hAnsi="Tahoma" w:hint="cs"/>
          <w:b/>
          <w:bCs/>
          <w:sz w:val="24"/>
          <w:rtl/>
        </w:rPr>
        <w:t xml:space="preserve"> </w:t>
      </w:r>
      <w:r w:rsidRPr="00DF69EA">
        <w:rPr>
          <w:rFonts w:ascii="Tahoma" w:hAnsi="Tahoma"/>
          <w:b/>
          <w:bCs/>
          <w:sz w:val="24"/>
          <w:rtl/>
        </w:rPr>
        <w:t xml:space="preserve">-  </w:t>
      </w:r>
      <w:r w:rsidRPr="00DF69EA">
        <w:rPr>
          <w:rFonts w:ascii="Tahoma" w:hAnsi="Tahoma" w:hint="cs"/>
          <w:b/>
          <w:bCs/>
          <w:sz w:val="24"/>
          <w:rtl/>
        </w:rPr>
        <w:t xml:space="preserve"> </w:t>
      </w:r>
      <w:r w:rsidRPr="00DF69EA">
        <w:rPr>
          <w:rFonts w:ascii="Tahoma" w:hAnsi="Tahoma"/>
          <w:b/>
          <w:bCs/>
          <w:sz w:val="24"/>
          <w:rtl/>
        </w:rPr>
        <w:t>הצעת המציע</w:t>
      </w:r>
      <w:r w:rsidRPr="00DF69EA">
        <w:rPr>
          <w:rFonts w:ascii="Tahoma" w:hAnsi="Tahoma" w:hint="cs"/>
          <w:b/>
          <w:bCs/>
          <w:sz w:val="24"/>
          <w:rtl/>
        </w:rPr>
        <w:t xml:space="preserve"> והצהרתו</w:t>
      </w:r>
      <w:r w:rsidRPr="00DF69EA">
        <w:rPr>
          <w:rFonts w:ascii="Tahoma" w:hAnsi="Tahoma"/>
          <w:b/>
          <w:bCs/>
          <w:sz w:val="24"/>
          <w:rtl/>
        </w:rPr>
        <w:t>.</w:t>
      </w:r>
    </w:p>
    <w:p w:rsidR="005B0B78" w:rsidRPr="00DF69EA" w:rsidRDefault="005B0B78" w:rsidP="005B0B78">
      <w:pPr>
        <w:ind w:left="29"/>
        <w:rPr>
          <w:rFonts w:ascii="Tahoma" w:hAnsi="Tahoma" w:hint="cs"/>
          <w:b/>
          <w:bCs/>
          <w:sz w:val="24"/>
          <w:rtl/>
        </w:rPr>
      </w:pPr>
    </w:p>
    <w:p w:rsidR="005B0B78" w:rsidRPr="00DF69EA" w:rsidRDefault="005B0B78" w:rsidP="005B0B78">
      <w:pPr>
        <w:ind w:left="1440"/>
        <w:rPr>
          <w:rFonts w:ascii="Tahoma" w:hAnsi="Tahoma" w:hint="cs"/>
          <w:b/>
          <w:bCs/>
          <w:sz w:val="24"/>
          <w:rtl/>
        </w:rPr>
      </w:pPr>
      <w:r w:rsidRPr="00DF69EA">
        <w:rPr>
          <w:rFonts w:ascii="Tahoma" w:hAnsi="Tahoma"/>
          <w:b/>
          <w:bCs/>
          <w:sz w:val="24"/>
          <w:rtl/>
        </w:rPr>
        <w:t xml:space="preserve"> מסמך </w:t>
      </w:r>
      <w:r w:rsidRPr="00DF69EA">
        <w:rPr>
          <w:rFonts w:ascii="Tahoma" w:hAnsi="Tahoma" w:hint="cs"/>
          <w:b/>
          <w:bCs/>
          <w:sz w:val="24"/>
          <w:rtl/>
        </w:rPr>
        <w:t>ג</w:t>
      </w:r>
      <w:r w:rsidRPr="00DF69EA">
        <w:rPr>
          <w:rFonts w:ascii="Tahoma" w:hAnsi="Tahoma"/>
          <w:b/>
          <w:bCs/>
          <w:sz w:val="24"/>
          <w:rtl/>
        </w:rPr>
        <w:t>'</w:t>
      </w:r>
      <w:r w:rsidRPr="00DF69EA">
        <w:rPr>
          <w:rFonts w:ascii="Tahoma" w:hAnsi="Tahoma" w:hint="cs"/>
          <w:b/>
          <w:bCs/>
          <w:sz w:val="24"/>
          <w:rtl/>
        </w:rPr>
        <w:t xml:space="preserve">  </w:t>
      </w:r>
      <w:r w:rsidRPr="00DF69EA">
        <w:rPr>
          <w:rFonts w:ascii="Tahoma" w:hAnsi="Tahoma"/>
          <w:b/>
          <w:bCs/>
          <w:sz w:val="24"/>
          <w:rtl/>
        </w:rPr>
        <w:t xml:space="preserve">-  </w:t>
      </w:r>
      <w:r w:rsidRPr="00DF69EA">
        <w:rPr>
          <w:rFonts w:hint="cs"/>
          <w:b/>
          <w:bCs/>
          <w:sz w:val="24"/>
          <w:rtl/>
        </w:rPr>
        <w:t>ה</w:t>
      </w:r>
      <w:r w:rsidRPr="00DF69EA">
        <w:rPr>
          <w:b/>
          <w:bCs/>
          <w:sz w:val="24"/>
          <w:rtl/>
        </w:rPr>
        <w:t xml:space="preserve">סכם </w:t>
      </w:r>
      <w:r w:rsidRPr="00DF69EA">
        <w:rPr>
          <w:rFonts w:hint="cs"/>
          <w:b/>
          <w:bCs/>
          <w:sz w:val="24"/>
          <w:rtl/>
        </w:rPr>
        <w:t xml:space="preserve">למתן שירותי </w:t>
      </w:r>
      <w:r>
        <w:rPr>
          <w:rFonts w:hint="cs"/>
          <w:b/>
          <w:bCs/>
          <w:sz w:val="24"/>
          <w:rtl/>
        </w:rPr>
        <w:t>ריסוק ופינוי גזם, נספחי ההסכם</w:t>
      </w:r>
      <w:r w:rsidRPr="00DF69EA">
        <w:rPr>
          <w:rFonts w:ascii="Tahoma" w:hAnsi="Tahoma" w:hint="cs"/>
          <w:b/>
          <w:bCs/>
          <w:sz w:val="24"/>
          <w:rtl/>
        </w:rPr>
        <w:t>:</w:t>
      </w:r>
    </w:p>
    <w:p w:rsidR="005B0B78" w:rsidRPr="00DF69EA" w:rsidRDefault="005B0B78" w:rsidP="005B0B78">
      <w:pPr>
        <w:spacing w:before="240"/>
        <w:ind w:left="2160"/>
        <w:rPr>
          <w:rFonts w:ascii="Tahoma" w:hAnsi="Tahoma"/>
          <w:b/>
          <w:bCs/>
          <w:sz w:val="24"/>
          <w:rtl/>
        </w:rPr>
      </w:pPr>
      <w:r w:rsidRPr="00DF69EA">
        <w:rPr>
          <w:rFonts w:ascii="Tahoma" w:hAnsi="Tahoma" w:hint="cs"/>
          <w:b/>
          <w:bCs/>
          <w:sz w:val="24"/>
          <w:rtl/>
        </w:rPr>
        <w:t>נספח א' -פירוט היישובים והאתרים בהם</w:t>
      </w:r>
      <w:r>
        <w:rPr>
          <w:rFonts w:ascii="Tahoma" w:hAnsi="Tahoma" w:hint="cs"/>
          <w:b/>
          <w:bCs/>
          <w:sz w:val="24"/>
          <w:rtl/>
        </w:rPr>
        <w:t xml:space="preserve"> אתר לריכוז גזם</w:t>
      </w:r>
      <w:r w:rsidRPr="00DF69EA">
        <w:rPr>
          <w:rFonts w:ascii="Tahoma" w:hAnsi="Tahoma" w:hint="cs"/>
          <w:b/>
          <w:bCs/>
          <w:sz w:val="24"/>
          <w:rtl/>
        </w:rPr>
        <w:t>.</w:t>
      </w:r>
    </w:p>
    <w:p w:rsidR="005B0B78" w:rsidRPr="00DF69EA" w:rsidRDefault="005B0B78" w:rsidP="005B0B78">
      <w:pPr>
        <w:spacing w:before="240"/>
        <w:ind w:left="2160"/>
        <w:rPr>
          <w:rFonts w:ascii="Tahoma" w:hAnsi="Tahoma"/>
          <w:b/>
          <w:bCs/>
          <w:sz w:val="24"/>
          <w:rtl/>
        </w:rPr>
      </w:pPr>
      <w:r w:rsidRPr="00DF69EA">
        <w:rPr>
          <w:rFonts w:ascii="Tahoma" w:hAnsi="Tahoma" w:hint="cs"/>
          <w:b/>
          <w:bCs/>
          <w:sz w:val="24"/>
          <w:rtl/>
        </w:rPr>
        <w:t>נספח ב'-  נוסח ערבות ביצוע</w:t>
      </w:r>
    </w:p>
    <w:p w:rsidR="005B0B78" w:rsidRPr="00DF69EA" w:rsidRDefault="005B0B78" w:rsidP="005B0B78">
      <w:pPr>
        <w:ind w:left="29"/>
        <w:rPr>
          <w:rFonts w:ascii="Tahoma" w:hAnsi="Tahoma"/>
          <w:b/>
          <w:bCs/>
          <w:sz w:val="24"/>
          <w:rtl/>
        </w:rPr>
      </w:pPr>
      <w:r w:rsidRPr="00DF69EA">
        <w:rPr>
          <w:rFonts w:ascii="Tahoma" w:hAnsi="Tahoma"/>
          <w:b/>
          <w:bCs/>
          <w:sz w:val="24"/>
          <w:rtl/>
        </w:rPr>
        <w:tab/>
      </w:r>
      <w:r w:rsidRPr="00DF69EA">
        <w:rPr>
          <w:rFonts w:ascii="Tahoma" w:hAnsi="Tahoma"/>
          <w:b/>
          <w:bCs/>
          <w:sz w:val="24"/>
          <w:rtl/>
        </w:rPr>
        <w:tab/>
      </w:r>
      <w:r w:rsidRPr="00DF69EA">
        <w:rPr>
          <w:rFonts w:ascii="Tahoma" w:hAnsi="Tahoma"/>
          <w:b/>
          <w:bCs/>
          <w:sz w:val="24"/>
          <w:rtl/>
        </w:rPr>
        <w:tab/>
      </w:r>
    </w:p>
    <w:p w:rsidR="005B0B78" w:rsidRPr="00DF69EA" w:rsidRDefault="005B0B78" w:rsidP="005B0B78">
      <w:pPr>
        <w:ind w:left="29"/>
        <w:rPr>
          <w:rFonts w:ascii="Tahoma" w:hAnsi="Tahoma" w:hint="cs"/>
          <w:b/>
          <w:bCs/>
          <w:sz w:val="24"/>
          <w:rtl/>
        </w:rPr>
      </w:pPr>
      <w:r w:rsidRPr="00DF69EA">
        <w:rPr>
          <w:rFonts w:ascii="Tahoma" w:hAnsi="Tahoma"/>
          <w:b/>
          <w:bCs/>
          <w:sz w:val="24"/>
          <w:rtl/>
        </w:rPr>
        <w:tab/>
      </w:r>
      <w:r w:rsidRPr="00DF69EA">
        <w:rPr>
          <w:rFonts w:ascii="Tahoma" w:hAnsi="Tahoma"/>
          <w:b/>
          <w:bCs/>
          <w:sz w:val="24"/>
          <w:rtl/>
        </w:rPr>
        <w:tab/>
      </w:r>
      <w:r w:rsidRPr="00DF69EA">
        <w:rPr>
          <w:rFonts w:ascii="Tahoma" w:hAnsi="Tahoma"/>
          <w:b/>
          <w:bCs/>
          <w:sz w:val="24"/>
          <w:rtl/>
        </w:rPr>
        <w:tab/>
      </w:r>
      <w:r w:rsidRPr="00DF69EA">
        <w:rPr>
          <w:rFonts w:ascii="Tahoma" w:hAnsi="Tahoma" w:hint="cs"/>
          <w:b/>
          <w:bCs/>
          <w:sz w:val="24"/>
          <w:rtl/>
        </w:rPr>
        <w:t>נספח ג'- אישור קיום ביטוחים</w:t>
      </w:r>
      <w:r w:rsidRPr="00DF69EA">
        <w:rPr>
          <w:rFonts w:ascii="Tahoma" w:hAnsi="Tahoma"/>
          <w:b/>
          <w:bCs/>
          <w:sz w:val="24"/>
          <w:rtl/>
        </w:rPr>
        <w:tab/>
      </w:r>
    </w:p>
    <w:p w:rsidR="005B0B78" w:rsidRPr="00DF69EA" w:rsidRDefault="005B0B78" w:rsidP="005B0B78">
      <w:pPr>
        <w:numPr>
          <w:ilvl w:val="1"/>
          <w:numId w:val="1"/>
        </w:numPr>
        <w:spacing w:before="240"/>
        <w:rPr>
          <w:rFonts w:hint="cs"/>
          <w:rtl/>
        </w:rPr>
      </w:pPr>
      <w:r w:rsidRPr="00DF69EA">
        <w:rPr>
          <w:rFonts w:hint="cs"/>
          <w:rtl/>
        </w:rPr>
        <w:t xml:space="preserve">את מסמכי המכרז ניתן לרכוש במשרדי המועצה בשעות העבודה הרגילות תמורת </w:t>
      </w:r>
      <w:r>
        <w:rPr>
          <w:rFonts w:hint="cs"/>
          <w:b/>
          <w:bCs/>
          <w:rtl/>
        </w:rPr>
        <w:t>500</w:t>
      </w:r>
      <w:r w:rsidRPr="00DF69EA">
        <w:rPr>
          <w:rFonts w:hint="cs"/>
          <w:b/>
          <w:bCs/>
          <w:rtl/>
        </w:rPr>
        <w:t xml:space="preserve"> ש"ח</w:t>
      </w:r>
      <w:r w:rsidRPr="00DF69EA">
        <w:rPr>
          <w:rFonts w:hint="cs"/>
          <w:rtl/>
        </w:rPr>
        <w:t xml:space="preserve"> שלא יוחזרו.</w:t>
      </w:r>
    </w:p>
    <w:p w:rsidR="005B0B78" w:rsidRDefault="005B0B78" w:rsidP="005B0B78">
      <w:pPr>
        <w:spacing w:before="120"/>
        <w:rPr>
          <w:b/>
          <w:bCs/>
          <w:u w:val="single"/>
          <w:rtl/>
        </w:rPr>
      </w:pPr>
    </w:p>
    <w:p w:rsidR="005B0B78" w:rsidRPr="001835C2" w:rsidRDefault="005B0B78" w:rsidP="005B0B78">
      <w:pPr>
        <w:numPr>
          <w:ilvl w:val="0"/>
          <w:numId w:val="1"/>
        </w:numPr>
        <w:spacing w:before="240"/>
        <w:rPr>
          <w:rFonts w:hint="cs"/>
          <w:rtl/>
        </w:rPr>
      </w:pPr>
      <w:r w:rsidRPr="001835C2">
        <w:rPr>
          <w:rFonts w:hint="cs"/>
          <w:b/>
          <w:bCs/>
          <w:rtl/>
        </w:rPr>
        <w:t>העבודות</w:t>
      </w:r>
    </w:p>
    <w:p w:rsidR="005B0B78" w:rsidRDefault="005B0B78" w:rsidP="005B0B78">
      <w:pPr>
        <w:numPr>
          <w:ilvl w:val="1"/>
          <w:numId w:val="1"/>
        </w:numPr>
        <w:spacing w:before="240"/>
        <w:rPr>
          <w:rFonts w:hint="cs"/>
          <w:rtl/>
        </w:rPr>
      </w:pPr>
      <w:r>
        <w:rPr>
          <w:rFonts w:hint="cs"/>
          <w:rtl/>
        </w:rPr>
        <w:t xml:space="preserve">ריסוק ופינוי הגזם יבוצע </w:t>
      </w:r>
      <w:proofErr w:type="spellStart"/>
      <w:r>
        <w:rPr>
          <w:rFonts w:hint="cs"/>
          <w:rtl/>
        </w:rPr>
        <w:t>בישובי</w:t>
      </w:r>
      <w:proofErr w:type="spellEnd"/>
      <w:r>
        <w:rPr>
          <w:rFonts w:hint="cs"/>
          <w:rtl/>
        </w:rPr>
        <w:t xml:space="preserve"> המועצה, לפי רשימה המצורפת </w:t>
      </w:r>
      <w:r w:rsidRPr="009D63FB">
        <w:rPr>
          <w:rFonts w:hint="cs"/>
          <w:rtl/>
        </w:rPr>
        <w:t>כנספח א'</w:t>
      </w:r>
      <w:r>
        <w:rPr>
          <w:rFonts w:hint="cs"/>
          <w:rtl/>
        </w:rPr>
        <w:t xml:space="preserve"> למסמכי המכרז (להלן – </w:t>
      </w:r>
      <w:r w:rsidRPr="009D63FB">
        <w:rPr>
          <w:rFonts w:hint="cs"/>
          <w:rtl/>
        </w:rPr>
        <w:t>"</w:t>
      </w:r>
      <w:r w:rsidRPr="009D63FB">
        <w:rPr>
          <w:rFonts w:hint="cs"/>
          <w:b/>
          <w:bCs/>
          <w:rtl/>
        </w:rPr>
        <w:t>הישובים</w:t>
      </w:r>
      <w:r w:rsidRPr="009D63FB">
        <w:rPr>
          <w:rFonts w:hint="cs"/>
          <w:rtl/>
        </w:rPr>
        <w:t>"</w:t>
      </w:r>
      <w:r>
        <w:rPr>
          <w:rFonts w:hint="cs"/>
          <w:rtl/>
        </w:rPr>
        <w:t xml:space="preserve">), יצוין כי בכל ישוב קיים אתר סדור לריכוז הגזם שבסמוך לו יש מכולה ייעודית לפסולת שאינה מסוג גזם (להלן- </w:t>
      </w:r>
      <w:r w:rsidRPr="009D63FB">
        <w:rPr>
          <w:rFonts w:hint="cs"/>
          <w:b/>
          <w:bCs/>
          <w:rtl/>
        </w:rPr>
        <w:t>"האתר" או "האתרים")</w:t>
      </w:r>
      <w:r>
        <w:rPr>
          <w:rFonts w:hint="cs"/>
          <w:rtl/>
        </w:rPr>
        <w:t xml:space="preserve"> .</w:t>
      </w:r>
      <w:r w:rsidRPr="009D63FB">
        <w:rPr>
          <w:rFonts w:hint="cs"/>
          <w:rtl/>
        </w:rPr>
        <w:t xml:space="preserve"> ריסוק ופינוי גזם </w:t>
      </w:r>
      <w:r>
        <w:rPr>
          <w:rFonts w:hint="cs"/>
          <w:rtl/>
        </w:rPr>
        <w:t xml:space="preserve">יבוצע </w:t>
      </w:r>
      <w:r w:rsidRPr="009D63FB">
        <w:rPr>
          <w:rFonts w:hint="cs"/>
          <w:rtl/>
        </w:rPr>
        <w:t>גם ממקומות ארעיים אחרים בתחום שיפוט המועצה, שאינם מפורטים ברשימה</w:t>
      </w:r>
      <w:r>
        <w:rPr>
          <w:rFonts w:hint="cs"/>
          <w:rtl/>
        </w:rPr>
        <w:t>.</w:t>
      </w:r>
    </w:p>
    <w:p w:rsidR="005B0B78" w:rsidRDefault="005B0B78" w:rsidP="005B0B78">
      <w:pPr>
        <w:numPr>
          <w:ilvl w:val="1"/>
          <w:numId w:val="1"/>
        </w:numPr>
        <w:spacing w:before="240"/>
        <w:rPr>
          <w:rtl/>
        </w:rPr>
      </w:pPr>
      <w:r>
        <w:rPr>
          <w:rFonts w:hint="cs"/>
          <w:rtl/>
        </w:rPr>
        <w:t>למועצה הזכות הבלעדית לקבוע כי העבודה תבוצע רק בחלק מהישובים, או לפצל את ביצוע העבודה בישובים השונים בין מספר קבלנים.</w:t>
      </w:r>
    </w:p>
    <w:p w:rsidR="005B0B78" w:rsidRDefault="005B0B78" w:rsidP="005B0B78">
      <w:pPr>
        <w:pStyle w:val="QtxDos"/>
        <w:numPr>
          <w:ilvl w:val="1"/>
          <w:numId w:val="1"/>
        </w:numPr>
        <w:bidi/>
        <w:spacing w:before="240"/>
        <w:jc w:val="both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עבודות ריסוק ופינוי הגזם כוללות:</w:t>
      </w:r>
    </w:p>
    <w:p w:rsidR="005B0B78" w:rsidRDefault="005B0B78" w:rsidP="005B0B78">
      <w:pPr>
        <w:pStyle w:val="QtxDos"/>
        <w:numPr>
          <w:ilvl w:val="2"/>
          <w:numId w:val="1"/>
        </w:numPr>
        <w:bidi/>
        <w:spacing w:before="240"/>
        <w:ind w:right="0"/>
        <w:jc w:val="both"/>
        <w:rPr>
          <w:rFonts w:cs="David" w:hint="cs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מיון והפרדה של כל ערימת הגזם שנאספה </w:t>
      </w:r>
      <w:proofErr w:type="spellStart"/>
      <w:r>
        <w:rPr>
          <w:rFonts w:cs="David" w:hint="cs"/>
          <w:sz w:val="24"/>
          <w:szCs w:val="24"/>
          <w:rtl/>
        </w:rPr>
        <w:t>לגזם</w:t>
      </w:r>
      <w:proofErr w:type="spellEnd"/>
      <w:r>
        <w:rPr>
          <w:rFonts w:cs="David" w:hint="cs"/>
          <w:sz w:val="24"/>
          <w:szCs w:val="24"/>
          <w:rtl/>
        </w:rPr>
        <w:t xml:space="preserve"> ולפסולת.</w:t>
      </w:r>
    </w:p>
    <w:p w:rsidR="005B0B78" w:rsidRDefault="005B0B78" w:rsidP="005B0B78">
      <w:pPr>
        <w:pStyle w:val="QtxDos"/>
        <w:numPr>
          <w:ilvl w:val="2"/>
          <w:numId w:val="1"/>
        </w:numPr>
        <w:bidi/>
        <w:spacing w:before="240"/>
        <w:ind w:right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ריסוק כל כמות הגזם שנאספה באתר.</w:t>
      </w:r>
    </w:p>
    <w:p w:rsidR="005B0B78" w:rsidRDefault="005B0B78" w:rsidP="005B0B78">
      <w:pPr>
        <w:pStyle w:val="QtxDos"/>
        <w:numPr>
          <w:ilvl w:val="2"/>
          <w:numId w:val="1"/>
        </w:numPr>
        <w:bidi/>
        <w:spacing w:before="240"/>
        <w:ind w:right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העמסת הפסולת שאינה גזם למכולה הייעודית באתר.</w:t>
      </w:r>
    </w:p>
    <w:p w:rsidR="005B0B78" w:rsidRDefault="005B0B78" w:rsidP="005B0B78">
      <w:pPr>
        <w:pStyle w:val="QtxDos"/>
        <w:numPr>
          <w:ilvl w:val="2"/>
          <w:numId w:val="1"/>
        </w:numPr>
        <w:bidi/>
        <w:spacing w:before="240"/>
        <w:ind w:right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lastRenderedPageBreak/>
        <w:t>ניקיון האתרים מבלי להשאיר עלים ולכלוך מכל סוג שהוא.</w:t>
      </w:r>
    </w:p>
    <w:p w:rsidR="005B0B78" w:rsidRDefault="005B0B78" w:rsidP="005B0B78">
      <w:pPr>
        <w:pStyle w:val="QtxDos"/>
        <w:numPr>
          <w:ilvl w:val="2"/>
          <w:numId w:val="1"/>
        </w:numPr>
        <w:bidi/>
        <w:spacing w:before="240"/>
        <w:ind w:right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העמסת רסק הגזם למשאית וכיסוי ארגז המשאית ביריעת כיסוי המתאימה לשקילה.</w:t>
      </w:r>
    </w:p>
    <w:p w:rsidR="005B0B78" w:rsidRDefault="005B0B78" w:rsidP="005B0B78">
      <w:pPr>
        <w:pStyle w:val="QtxDos"/>
        <w:numPr>
          <w:ilvl w:val="2"/>
          <w:numId w:val="1"/>
        </w:numPr>
        <w:bidi/>
        <w:spacing w:before="240"/>
        <w:ind w:right="0"/>
        <w:jc w:val="both"/>
        <w:rPr>
          <w:rFonts w:cs="David"/>
          <w:sz w:val="24"/>
          <w:szCs w:val="24"/>
        </w:rPr>
      </w:pPr>
      <w:r>
        <w:rPr>
          <w:rFonts w:cs="David" w:hint="cs"/>
          <w:sz w:val="24"/>
          <w:szCs w:val="24"/>
          <w:rtl/>
        </w:rPr>
        <w:t>הובלת רסק הגזם מהאתרים לאתר שקילה שאישרה המועצה לשם עריכת חשבון ודו"ח לביצוע העבודות.</w:t>
      </w:r>
    </w:p>
    <w:p w:rsidR="005B0B78" w:rsidRPr="005701F5" w:rsidRDefault="005B0B78" w:rsidP="005B0B78">
      <w:pPr>
        <w:pStyle w:val="QtxDos"/>
        <w:numPr>
          <w:ilvl w:val="1"/>
          <w:numId w:val="1"/>
        </w:numPr>
        <w:bidi/>
        <w:spacing w:before="240"/>
        <w:jc w:val="both"/>
        <w:rPr>
          <w:rFonts w:cs="David"/>
          <w:sz w:val="24"/>
          <w:szCs w:val="24"/>
        </w:rPr>
      </w:pPr>
      <w:r w:rsidRPr="005701F5">
        <w:rPr>
          <w:rFonts w:cs="David" w:hint="cs"/>
          <w:sz w:val="24"/>
          <w:szCs w:val="24"/>
          <w:rtl/>
        </w:rPr>
        <w:t>העבודה תבוצע בהתאם לצרכי המועצה, והמועצה אינה מתחייבת להזמין את השירות בתדירות כלשהי או בכלל.</w:t>
      </w:r>
    </w:p>
    <w:p w:rsidR="005B0B78" w:rsidRPr="005701F5" w:rsidRDefault="005B0B78" w:rsidP="005B0B78">
      <w:pPr>
        <w:pStyle w:val="QtxDos"/>
        <w:numPr>
          <w:ilvl w:val="1"/>
          <w:numId w:val="1"/>
        </w:numPr>
        <w:bidi/>
        <w:spacing w:before="240"/>
        <w:jc w:val="both"/>
        <w:rPr>
          <w:rFonts w:cs="David"/>
          <w:sz w:val="24"/>
          <w:szCs w:val="24"/>
        </w:rPr>
      </w:pPr>
      <w:r w:rsidRPr="005701F5">
        <w:rPr>
          <w:rFonts w:cs="David" w:hint="cs"/>
          <w:sz w:val="24"/>
          <w:szCs w:val="24"/>
          <w:rtl/>
        </w:rPr>
        <w:t>הקבלן מתחייב לבצע את העבודה בתוך 7 (שבעה) ימים מרגע שנדרש על ידי המועצה. דרישה כאמור תיעשה לכמות של לא פחות מ-30 טון גזם באתר אחד או בשני אתרים במצטבר.</w:t>
      </w:r>
    </w:p>
    <w:p w:rsidR="005B0B78" w:rsidRDefault="005B0B78" w:rsidP="005B0B78">
      <w:pPr>
        <w:ind w:left="596"/>
        <w:rPr>
          <w:b/>
          <w:bCs/>
        </w:rPr>
      </w:pPr>
    </w:p>
    <w:p w:rsidR="005B0B78" w:rsidRDefault="005B0B78" w:rsidP="005B0B78">
      <w:pPr>
        <w:numPr>
          <w:ilvl w:val="0"/>
          <w:numId w:val="1"/>
        </w:numPr>
        <w:rPr>
          <w:b/>
          <w:bCs/>
        </w:rPr>
      </w:pPr>
      <w:r w:rsidRPr="001835C2">
        <w:rPr>
          <w:rFonts w:hint="cs"/>
          <w:b/>
          <w:bCs/>
          <w:rtl/>
        </w:rPr>
        <w:t>תקופת ההתקשרות</w:t>
      </w:r>
    </w:p>
    <w:p w:rsidR="005B0B78" w:rsidRPr="001835C2" w:rsidRDefault="005B0B78" w:rsidP="005B0B78">
      <w:pPr>
        <w:ind w:left="596"/>
        <w:rPr>
          <w:b/>
          <w:bCs/>
        </w:rPr>
      </w:pPr>
    </w:p>
    <w:p w:rsidR="005B0B78" w:rsidRDefault="005B0B78" w:rsidP="005B0B78">
      <w:pPr>
        <w:numPr>
          <w:ilvl w:val="1"/>
          <w:numId w:val="1"/>
        </w:numPr>
        <w:ind w:left="1333"/>
        <w:rPr>
          <w:rFonts w:hint="cs"/>
        </w:rPr>
      </w:pPr>
      <w:r>
        <w:rPr>
          <w:rFonts w:hint="cs"/>
          <w:rtl/>
        </w:rPr>
        <w:t>תקופת ההתקשרות עם המציע שהצעתו תקבע כהצעה הזוכה תהיה למשך 12 (במילים: שנים עשר) חודשים.</w:t>
      </w:r>
    </w:p>
    <w:p w:rsidR="005B0B78" w:rsidRDefault="005B0B78" w:rsidP="005B0B78">
      <w:pPr>
        <w:ind w:left="1333"/>
      </w:pPr>
    </w:p>
    <w:p w:rsidR="005B0B78" w:rsidRDefault="005B0B78" w:rsidP="005B0B78">
      <w:pPr>
        <w:numPr>
          <w:ilvl w:val="1"/>
          <w:numId w:val="1"/>
        </w:numPr>
        <w:rPr>
          <w:rtl/>
        </w:rPr>
      </w:pPr>
      <w:r>
        <w:rPr>
          <w:rFonts w:hint="cs"/>
          <w:rtl/>
        </w:rPr>
        <w:t>למועצה הזכות להאריך את ההתקשרות לשנה נוספת וחוזר חלילה מדי שנה עד לתקופה מצטברת של 4 (ארבע) שנות הארכה (להלן תיקרא כל הארכה בת שנה "</w:t>
      </w:r>
      <w:r>
        <w:rPr>
          <w:rFonts w:hint="cs"/>
          <w:b/>
          <w:bCs/>
          <w:rtl/>
        </w:rPr>
        <w:t>תקופת הארכה</w:t>
      </w:r>
      <w:r>
        <w:rPr>
          <w:rFonts w:hint="cs"/>
          <w:rtl/>
        </w:rPr>
        <w:t xml:space="preserve">"), והכל בתנאי שהמועצה הודיעה למציע אשר יזכה במכרז, על רצונה להאריך את ההסכם  לפחות 60 (שישים) ימים  לפני תום מועד  תקופת ההתקשרות, או תקופת ההארכה ובהתאמה.  </w:t>
      </w:r>
    </w:p>
    <w:p w:rsidR="005B0B78" w:rsidRDefault="005B0B78" w:rsidP="005B0B78">
      <w:pPr>
        <w:numPr>
          <w:ilvl w:val="1"/>
          <w:numId w:val="1"/>
        </w:numPr>
        <w:spacing w:before="240"/>
        <w:rPr>
          <w:rFonts w:hint="cs"/>
          <w:rtl/>
        </w:rPr>
      </w:pPr>
      <w:r>
        <w:rPr>
          <w:rFonts w:hint="cs"/>
          <w:rtl/>
        </w:rPr>
        <w:t>יתר פרטי ההתקשרות והתנאים מפורטים בנוסח ההסכם המצורף</w:t>
      </w:r>
      <w:r>
        <w:rPr>
          <w:rFonts w:hint="cs"/>
          <w:b/>
          <w:bCs/>
          <w:u w:val="single"/>
          <w:rtl/>
        </w:rPr>
        <w:t xml:space="preserve"> כמסמך ג' </w:t>
      </w:r>
      <w:r>
        <w:rPr>
          <w:rFonts w:hint="cs"/>
          <w:rtl/>
        </w:rPr>
        <w:t xml:space="preserve">למסמכי המכרז, והמהווה חלק בלתי נפרד ממסמכי המכרז (להלן: </w:t>
      </w:r>
      <w:r>
        <w:rPr>
          <w:rFonts w:hint="cs"/>
          <w:b/>
          <w:bCs/>
          <w:rtl/>
        </w:rPr>
        <w:t>"ההסכם"</w:t>
      </w:r>
      <w:r>
        <w:rPr>
          <w:rFonts w:hint="cs"/>
          <w:rtl/>
        </w:rPr>
        <w:t>).</w:t>
      </w:r>
    </w:p>
    <w:p w:rsidR="005B0B78" w:rsidRPr="001835C2" w:rsidRDefault="005B0B78" w:rsidP="005B0B78">
      <w:pPr>
        <w:numPr>
          <w:ilvl w:val="0"/>
          <w:numId w:val="1"/>
        </w:numPr>
        <w:spacing w:before="240"/>
        <w:rPr>
          <w:rFonts w:hint="cs"/>
          <w:b/>
          <w:bCs/>
          <w:rtl/>
        </w:rPr>
      </w:pPr>
      <w:r w:rsidRPr="001835C2">
        <w:rPr>
          <w:rFonts w:hint="cs"/>
          <w:b/>
          <w:bCs/>
          <w:rtl/>
        </w:rPr>
        <w:t>תנאי להשתתפות במכרז</w:t>
      </w:r>
    </w:p>
    <w:p w:rsidR="005B0B78" w:rsidRDefault="005B0B78" w:rsidP="005B0B78">
      <w:pPr>
        <w:spacing w:before="240"/>
        <w:ind w:left="596"/>
        <w:rPr>
          <w:rFonts w:hint="cs"/>
          <w:b/>
          <w:bCs/>
          <w:u w:val="single"/>
          <w:rtl/>
        </w:rPr>
      </w:pPr>
      <w:r>
        <w:rPr>
          <w:rFonts w:hint="cs"/>
          <w:b/>
          <w:bCs/>
          <w:u w:val="single"/>
          <w:rtl/>
        </w:rPr>
        <w:t xml:space="preserve"> </w:t>
      </w:r>
    </w:p>
    <w:p w:rsidR="005B0B78" w:rsidRDefault="005B0B78" w:rsidP="005B0B78">
      <w:pPr>
        <w:numPr>
          <w:ilvl w:val="1"/>
          <w:numId w:val="1"/>
        </w:numPr>
      </w:pPr>
      <w:r>
        <w:rPr>
          <w:rFonts w:hint="cs"/>
          <w:rtl/>
        </w:rPr>
        <w:t>רשאים להשתתף במכרז יחידים או תאגידים בעלי ניסיון קודם מוכח של 3 שנים לפחות במהלך התקופה של 5 שנים הקודמת למועד הגשת הצעה למכרז זה, בביצוע עבודות ריסוק ופינוי גזם בהיקפים דומים להיקפים המוערכים במכרז זה.</w:t>
      </w:r>
    </w:p>
    <w:p w:rsidR="005B0B78" w:rsidRPr="005701F5" w:rsidRDefault="005B0B78" w:rsidP="005B0B78">
      <w:pPr>
        <w:ind w:left="907"/>
        <w:rPr>
          <w:rtl/>
        </w:rPr>
      </w:pPr>
    </w:p>
    <w:p w:rsidR="005B0B78" w:rsidRDefault="005B0B78" w:rsidP="005B0B78">
      <w:pPr>
        <w:numPr>
          <w:ilvl w:val="1"/>
          <w:numId w:val="1"/>
        </w:numPr>
        <w:rPr>
          <w:rFonts w:hint="cs"/>
          <w:rtl/>
        </w:rPr>
      </w:pPr>
      <w:r>
        <w:rPr>
          <w:rFonts w:hint="cs"/>
          <w:rtl/>
        </w:rPr>
        <w:t xml:space="preserve">רשאים להשתתף מציעים אשר יוכיחו כי יש בבעלותם או ברשותם כלי רכב ומתקנים לביצוע ריסוק ופינוי גזם ובכלל זה  </w:t>
      </w:r>
      <w:proofErr w:type="spellStart"/>
      <w:r>
        <w:rPr>
          <w:rFonts w:hint="cs"/>
          <w:rtl/>
        </w:rPr>
        <w:t>שופל</w:t>
      </w:r>
      <w:proofErr w:type="spellEnd"/>
      <w:r>
        <w:rPr>
          <w:rFonts w:hint="cs"/>
          <w:rtl/>
        </w:rPr>
        <w:t>, משאית פינוי ומרסקת ניידת. המציעים נדרשים לצרף תצהיר מאומת להוכחת קיום הכלים הנ"ל בבעלותם או ברשותם.</w:t>
      </w:r>
    </w:p>
    <w:p w:rsidR="005B0B78" w:rsidRDefault="005B0B78" w:rsidP="005B0B78">
      <w:pPr>
        <w:rPr>
          <w:rtl/>
        </w:rPr>
      </w:pPr>
    </w:p>
    <w:p w:rsidR="005B0B78" w:rsidRDefault="005B0B78" w:rsidP="005B0B78">
      <w:pPr>
        <w:numPr>
          <w:ilvl w:val="1"/>
          <w:numId w:val="1"/>
        </w:numPr>
        <w:rPr>
          <w:rFonts w:hint="cs"/>
          <w:rtl/>
        </w:rPr>
      </w:pPr>
      <w:r>
        <w:rPr>
          <w:rFonts w:hint="cs"/>
          <w:rtl/>
        </w:rPr>
        <w:t xml:space="preserve">על המציע להיות עוסק מורשה לענייני מס ערך מוסף ולנהל פנקס חשבונות ורשומות לפי חוק עסקאות גופים  ציבוריים  (אכיפת ניהול חשבונות ותשלום חובות מס)  </w:t>
      </w:r>
      <w:proofErr w:type="spellStart"/>
      <w:r>
        <w:rPr>
          <w:rFonts w:hint="cs"/>
          <w:rtl/>
        </w:rPr>
        <w:t>התשל"ו</w:t>
      </w:r>
      <w:proofErr w:type="spellEnd"/>
      <w:r>
        <w:rPr>
          <w:rFonts w:hint="cs"/>
          <w:rtl/>
        </w:rPr>
        <w:t xml:space="preserve"> </w:t>
      </w:r>
      <w:r>
        <w:t>–</w:t>
      </w:r>
      <w:r>
        <w:rPr>
          <w:rFonts w:hint="cs"/>
          <w:rtl/>
        </w:rPr>
        <w:t xml:space="preserve"> 1976 .</w:t>
      </w:r>
    </w:p>
    <w:p w:rsidR="005B0B78" w:rsidRDefault="005B0B78" w:rsidP="005B0B78">
      <w:pPr>
        <w:numPr>
          <w:ilvl w:val="1"/>
          <w:numId w:val="1"/>
        </w:numPr>
        <w:spacing w:before="240"/>
        <w:rPr>
          <w:rFonts w:hint="cs"/>
          <w:rtl/>
        </w:rPr>
      </w:pPr>
      <w:r>
        <w:rPr>
          <w:rFonts w:hint="cs"/>
          <w:rtl/>
        </w:rPr>
        <w:t xml:space="preserve">המציע נדרש לצרף לפחות שלוש המלצות ופירוט בדבר ניסיון קודם. </w:t>
      </w:r>
    </w:p>
    <w:p w:rsidR="005B0B78" w:rsidRDefault="005B0B78" w:rsidP="005B0B78">
      <w:pPr>
        <w:spacing w:before="240"/>
        <w:ind w:left="709"/>
        <w:rPr>
          <w:rFonts w:hint="cs"/>
          <w:b/>
          <w:bCs/>
          <w:u w:val="single"/>
          <w:rtl/>
        </w:rPr>
      </w:pPr>
    </w:p>
    <w:p w:rsidR="005B0B78" w:rsidRDefault="005B0B78" w:rsidP="005B0B78">
      <w:pPr>
        <w:spacing w:before="240"/>
        <w:ind w:left="709"/>
        <w:rPr>
          <w:rFonts w:hint="cs"/>
          <w:b/>
          <w:bCs/>
          <w:u w:val="single"/>
          <w:rtl/>
        </w:rPr>
      </w:pPr>
    </w:p>
    <w:p w:rsidR="005B0B78" w:rsidRDefault="005B0B78" w:rsidP="005B0B78">
      <w:pPr>
        <w:spacing w:before="240"/>
        <w:ind w:left="709"/>
        <w:rPr>
          <w:rFonts w:hint="cs"/>
          <w:b/>
          <w:bCs/>
          <w:u w:val="single"/>
          <w:rtl/>
        </w:rPr>
      </w:pPr>
    </w:p>
    <w:p w:rsidR="005B0B78" w:rsidRDefault="005B0B78" w:rsidP="005B0B78">
      <w:pPr>
        <w:spacing w:before="240"/>
        <w:ind w:left="709"/>
        <w:rPr>
          <w:rFonts w:hint="cs"/>
          <w:b/>
          <w:bCs/>
          <w:u w:val="single"/>
          <w:rtl/>
        </w:rPr>
      </w:pPr>
    </w:p>
    <w:p w:rsidR="000312F9" w:rsidRDefault="000312F9"/>
    <w:sectPr w:rsidR="000312F9" w:rsidSect="001464D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khbar Simplified MT">
    <w:panose1 w:val="00000000000000000000"/>
    <w:charset w:val="02"/>
    <w:family w:val="auto"/>
    <w:notTrueType/>
    <w:pitch w:val="variable"/>
  </w:font>
  <w:font w:name="QMiriam">
    <w:panose1 w:val="00000000000000000000"/>
    <w:charset w:val="02"/>
    <w:family w:val="auto"/>
    <w:notTrueType/>
    <w:pitch w:val="variable"/>
    <w:sig w:usb0="00001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D7879"/>
    <w:multiLevelType w:val="multilevel"/>
    <w:tmpl w:val="EA3A304E"/>
    <w:lvl w:ilvl="0">
      <w:start w:val="1"/>
      <w:numFmt w:val="decimal"/>
      <w:lvlText w:val="%1."/>
      <w:lvlJc w:val="right"/>
      <w:pPr>
        <w:tabs>
          <w:tab w:val="num" w:pos="596"/>
        </w:tabs>
        <w:ind w:left="596" w:hanging="596"/>
      </w:pPr>
      <w:rPr>
        <w:b w:val="0"/>
        <w:bCs w:val="0"/>
      </w:rPr>
    </w:lvl>
    <w:lvl w:ilvl="1">
      <w:start w:val="1"/>
      <w:numFmt w:val="hebrew1"/>
      <w:lvlText w:val="%2."/>
      <w:lvlJc w:val="right"/>
      <w:pPr>
        <w:tabs>
          <w:tab w:val="num" w:pos="1332"/>
        </w:tabs>
        <w:ind w:left="1332" w:hanging="624"/>
      </w:pPr>
      <w:rPr>
        <w:b w:val="0"/>
        <w:bCs w:val="0"/>
        <w:i w:val="0"/>
        <w:iCs w:val="0"/>
        <w:color w:val="auto"/>
        <w:lang w:val="en-US"/>
      </w:rPr>
    </w:lvl>
    <w:lvl w:ilvl="2">
      <w:start w:val="1"/>
      <w:numFmt w:val="decimal"/>
      <w:lvlText w:val="(%3)"/>
      <w:lvlJc w:val="right"/>
      <w:pPr>
        <w:tabs>
          <w:tab w:val="num" w:pos="2182"/>
        </w:tabs>
        <w:ind w:left="2182" w:right="2324" w:hanging="623"/>
      </w:pPr>
    </w:lvl>
    <w:lvl w:ilvl="3">
      <w:start w:val="1"/>
      <w:numFmt w:val="hebrew1"/>
      <w:lvlText w:val="(%4)"/>
      <w:lvlJc w:val="right"/>
      <w:pPr>
        <w:tabs>
          <w:tab w:val="num" w:pos="3260"/>
        </w:tabs>
        <w:ind w:left="3260" w:right="3260" w:hanging="766"/>
      </w:pPr>
    </w:lvl>
    <w:lvl w:ilvl="4">
      <w:start w:val="1"/>
      <w:numFmt w:val="decimal"/>
      <w:lvlText w:val="%5."/>
      <w:lvlJc w:val="right"/>
      <w:pPr>
        <w:tabs>
          <w:tab w:val="num" w:pos="3855"/>
        </w:tabs>
        <w:ind w:left="3855" w:right="3855" w:hanging="453"/>
      </w:pPr>
    </w:lvl>
    <w:lvl w:ilvl="5">
      <w:start w:val="1"/>
      <w:numFmt w:val="hebrew1"/>
      <w:lvlText w:val="%6."/>
      <w:lvlJc w:val="center"/>
      <w:pPr>
        <w:tabs>
          <w:tab w:val="num" w:pos="4734"/>
        </w:tabs>
        <w:ind w:left="4734" w:right="4734" w:hanging="709"/>
      </w:pPr>
    </w:lvl>
    <w:lvl w:ilvl="6">
      <w:start w:val="1"/>
      <w:numFmt w:val="decimal"/>
      <w:lvlText w:val="%1.%2.%3.%4.%5.%6.%7."/>
      <w:lvlJc w:val="center"/>
      <w:pPr>
        <w:tabs>
          <w:tab w:val="num" w:pos="3237"/>
        </w:tabs>
        <w:ind w:left="3237" w:right="3237" w:hanging="1077"/>
      </w:pPr>
    </w:lvl>
    <w:lvl w:ilvl="7">
      <w:start w:val="1"/>
      <w:numFmt w:val="decimal"/>
      <w:lvlText w:val="%1.%2.%3.%4.%5.%6.%7.%8."/>
      <w:lvlJc w:val="center"/>
      <w:pPr>
        <w:tabs>
          <w:tab w:val="num" w:pos="3742"/>
        </w:tabs>
        <w:ind w:left="3742" w:right="3742" w:hanging="1225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righ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78"/>
    <w:rsid w:val="000312F9"/>
    <w:rsid w:val="001464DD"/>
    <w:rsid w:val="005B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78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ostar">
    <w:name w:val="ecostar"/>
    <w:basedOn w:val="a"/>
    <w:rsid w:val="005B0B78"/>
    <w:pPr>
      <w:spacing w:line="360" w:lineRule="auto"/>
    </w:pPr>
    <w:rPr>
      <w:rFonts w:cs="Tahoma"/>
      <w:sz w:val="20"/>
      <w:szCs w:val="22"/>
    </w:rPr>
  </w:style>
  <w:style w:type="paragraph" w:customStyle="1" w:styleId="QtxDos">
    <w:name w:val="QtxDos"/>
    <w:rsid w:val="005B0B78"/>
    <w:pPr>
      <w:widowControl w:val="0"/>
      <w:snapToGrid w:val="0"/>
      <w:spacing w:after="0" w:line="240" w:lineRule="auto"/>
    </w:pPr>
    <w:rPr>
      <w:rFonts w:ascii="Arial" w:eastAsia="Times New Roman" w:hAnsi="Akhbar Simplified MT" w:cs="QMiriam"/>
      <w:sz w:val="20"/>
      <w:szCs w:val="20"/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B78"/>
    <w:pPr>
      <w:bidi/>
      <w:spacing w:after="0" w:line="240" w:lineRule="auto"/>
      <w:jc w:val="both"/>
    </w:pPr>
    <w:rPr>
      <w:rFonts w:ascii="Times New Roman" w:eastAsia="Times New Roman" w:hAnsi="Times New Roman" w:cs="David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costar">
    <w:name w:val="ecostar"/>
    <w:basedOn w:val="a"/>
    <w:rsid w:val="005B0B78"/>
    <w:pPr>
      <w:spacing w:line="360" w:lineRule="auto"/>
    </w:pPr>
    <w:rPr>
      <w:rFonts w:cs="Tahoma"/>
      <w:sz w:val="20"/>
      <w:szCs w:val="22"/>
    </w:rPr>
  </w:style>
  <w:style w:type="paragraph" w:customStyle="1" w:styleId="QtxDos">
    <w:name w:val="QtxDos"/>
    <w:rsid w:val="005B0B78"/>
    <w:pPr>
      <w:widowControl w:val="0"/>
      <w:snapToGrid w:val="0"/>
      <w:spacing w:after="0" w:line="240" w:lineRule="auto"/>
    </w:pPr>
    <w:rPr>
      <w:rFonts w:ascii="Arial" w:eastAsia="Times New Roman" w:hAnsi="Akhbar Simplified MT" w:cs="QMiriam"/>
      <w:sz w:val="20"/>
      <w:szCs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ריימונד</dc:creator>
  <cp:keywords/>
  <dc:description/>
  <cp:lastModifiedBy/>
  <cp:revision>1</cp:revision>
  <dcterms:created xsi:type="dcterms:W3CDTF">2018-03-15T12:01:00Z</dcterms:created>
</cp:coreProperties>
</file>